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A2" w:rsidRPr="00837CFD" w:rsidRDefault="00350FAA" w:rsidP="00596E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CFD">
        <w:rPr>
          <w:rFonts w:ascii="Times New Roman" w:hAnsi="Times New Roman" w:cs="Times New Roman"/>
          <w:b/>
          <w:noProof/>
          <w:sz w:val="28"/>
          <w:szCs w:val="28"/>
        </w:rPr>
        <w:t xml:space="preserve">Информация </w:t>
      </w:r>
      <w:r w:rsidR="00AC3FA2" w:rsidRPr="00837CFD">
        <w:rPr>
          <w:rFonts w:ascii="Times New Roman" w:hAnsi="Times New Roman" w:cs="Times New Roman"/>
          <w:b/>
          <w:sz w:val="28"/>
          <w:szCs w:val="28"/>
        </w:rPr>
        <w:t xml:space="preserve">по результатам внешней проверки бюджетной   отчетности главных администраторов  бюджетных средств и отчета об исполнении бюджета муниципального образования «Ярцевский муниципальный округ» Смоленской области за </w:t>
      </w:r>
      <w:r w:rsidR="00AC3FA2" w:rsidRPr="00837CFD">
        <w:rPr>
          <w:rFonts w:ascii="Times New Roman" w:hAnsi="Times New Roman" w:cs="Times New Roman"/>
          <w:b/>
          <w:sz w:val="40"/>
          <w:szCs w:val="40"/>
        </w:rPr>
        <w:t>2025</w:t>
      </w:r>
      <w:r w:rsidR="00AC3FA2" w:rsidRPr="00837CF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C3FA2" w:rsidRPr="00837CFD" w:rsidRDefault="00AC3FA2" w:rsidP="00AC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FA2" w:rsidRPr="00837CFD" w:rsidRDefault="00AC3FA2" w:rsidP="00AC3FA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>Заключение по результатам внешней проверки отчетности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(далее - главные администраторы бюджетных средств) и отчета об исполнении бюджета муниципального образования «Ярцевский муниципальный округ» Смоленской области за 2025 год подготовлено Контрольно-ревизионной комиссией муниципального образования  «Ярцевский муниципальный округ» Смоленской области в соответствии с требованиями статьи 264.4 Бюджетного кодекса Российской Федерации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 xml:space="preserve">Положением о Контрольно-ревизионной комиссии муниципального образования «Ярцевский муниципальный округ» Смоленской области утвержденным  решением Ярцевского окружного Совета депутатов от 25.10.2024 № 17, Положением о бюджетном процессе в муниципальном образовании «Ярцевский муниципальный округ» Смоленской области утвержденным  решением Ярцевского окружного Совета депутатов от 25.10.2024 № 25, </w:t>
      </w:r>
      <w:r w:rsidRPr="00837CFD">
        <w:rPr>
          <w:rFonts w:ascii="Times New Roman" w:hAnsi="Times New Roman"/>
          <w:sz w:val="28"/>
          <w:szCs w:val="28"/>
        </w:rPr>
        <w:t>планом работы Контрольно-ревизионной комиссии муниципального образования «Ярцевский муниципальный округ» Смоленской области на 2026 год</w:t>
      </w:r>
      <w:r w:rsidRPr="00837CFD">
        <w:rPr>
          <w:rFonts w:ascii="Times New Roman" w:hAnsi="Times New Roman" w:cs="Times New Roman"/>
          <w:sz w:val="28"/>
          <w:szCs w:val="28"/>
        </w:rPr>
        <w:t>, на основании данных внешней проверки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годовой бюджетной отчетности главных администраторов бюджетных средств за 2025 год.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Годовой отчет об исполнении бюджета муниципального образования «Ярцевский муниципальный округ» Смоленской области представлен Администрацией муниципального образования «Ярцевский муниципальный округ» Смоленской области в Контрольно-ревизионную комиссию муниципального образования «Ярцевский муниципальный округ» Смоленской области в срок, установленный статьей 264.4 Бюджетного кодекса Российской Федерации.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>Полнота представленной бюджетной отчетности соответствует требованиями ст. 264.1 Бюджетного кодекса РФ 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 утвержденной  приказом Министерства финансов РФ № 191н от 28.12.2010 (далее - Инструкция 191н), 157н, 162н, положений федеральных стандартов №№256н, 260н и других действующих нормативных актов, регулирующих ведение бюджетного учета и составление отчетности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за 2025 год.</w:t>
      </w:r>
    </w:p>
    <w:p w:rsidR="00596E13" w:rsidRPr="00837CFD" w:rsidRDefault="00596E13" w:rsidP="00596E13">
      <w:pPr>
        <w:pStyle w:val="Default"/>
        <w:ind w:firstLine="709"/>
        <w:jc w:val="both"/>
        <w:rPr>
          <w:sz w:val="28"/>
          <w:szCs w:val="28"/>
        </w:rPr>
      </w:pPr>
      <w:r w:rsidRPr="00837CFD">
        <w:rPr>
          <w:sz w:val="28"/>
          <w:szCs w:val="28"/>
        </w:rPr>
        <w:t xml:space="preserve">Контрольно-ревизионной комиссией проведен следующий анализ: </w:t>
      </w:r>
    </w:p>
    <w:p w:rsidR="00596E13" w:rsidRPr="00837CFD" w:rsidRDefault="00596E13" w:rsidP="00596E13">
      <w:pPr>
        <w:pStyle w:val="Default"/>
        <w:ind w:firstLine="709"/>
        <w:jc w:val="both"/>
        <w:rPr>
          <w:sz w:val="28"/>
          <w:szCs w:val="28"/>
        </w:rPr>
      </w:pPr>
      <w:r w:rsidRPr="00837CFD">
        <w:rPr>
          <w:sz w:val="28"/>
          <w:szCs w:val="28"/>
        </w:rPr>
        <w:t>- соответствия бюджетной отчетности главных администраторов бюджетных сре</w:t>
      </w:r>
      <w:proofErr w:type="gramStart"/>
      <w:r w:rsidRPr="00837CFD">
        <w:rPr>
          <w:sz w:val="28"/>
          <w:szCs w:val="28"/>
        </w:rPr>
        <w:t>дств св</w:t>
      </w:r>
      <w:proofErr w:type="gramEnd"/>
      <w:r w:rsidRPr="00837CFD">
        <w:rPr>
          <w:sz w:val="28"/>
          <w:szCs w:val="28"/>
        </w:rPr>
        <w:t xml:space="preserve">одной бюджетной росписи; </w:t>
      </w:r>
    </w:p>
    <w:p w:rsidR="00596E13" w:rsidRPr="00837CFD" w:rsidRDefault="00596E13" w:rsidP="00596E13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837CFD">
        <w:rPr>
          <w:sz w:val="28"/>
          <w:szCs w:val="28"/>
        </w:rPr>
        <w:lastRenderedPageBreak/>
        <w:t>- полноты представленной главными администраторами бюджетных средств бюджетной отчетности за 2025 год, ее соответствие требованиям Инструкциям, предусматривающим порядок составления и представления годовой,</w:t>
      </w:r>
      <w:r w:rsidRPr="00837CFD">
        <w:rPr>
          <w:sz w:val="26"/>
          <w:szCs w:val="26"/>
        </w:rPr>
        <w:t xml:space="preserve"> </w:t>
      </w:r>
      <w:r w:rsidRPr="00837CFD">
        <w:rPr>
          <w:sz w:val="28"/>
          <w:szCs w:val="28"/>
        </w:rPr>
        <w:t xml:space="preserve">квартальной и месячной отчетности об исполнении бюджетов бюджетной системы Российской Федерации; </w:t>
      </w:r>
      <w:proofErr w:type="gramEnd"/>
    </w:p>
    <w:p w:rsidR="00596E13" w:rsidRPr="00837CFD" w:rsidRDefault="00596E13" w:rsidP="00596E13">
      <w:pPr>
        <w:pStyle w:val="Default"/>
        <w:ind w:firstLine="709"/>
        <w:rPr>
          <w:sz w:val="28"/>
          <w:szCs w:val="28"/>
        </w:rPr>
      </w:pPr>
      <w:r w:rsidRPr="00837CFD">
        <w:rPr>
          <w:sz w:val="28"/>
          <w:szCs w:val="28"/>
        </w:rPr>
        <w:t xml:space="preserve">- соблюдение контрольных соотношений взаимосвязанных показателей бюджетной отчетности. 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596E13" w:rsidRPr="00837CFD" w:rsidRDefault="00596E13" w:rsidP="00596E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и оценка форм бюджетной отчетности</w:t>
      </w:r>
    </w:p>
    <w:p w:rsidR="00596E13" w:rsidRPr="00837CFD" w:rsidRDefault="00596E13" w:rsidP="00596E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форм бюджетной отчетности осуществляется в рамках порядка ее составления, а оценка на основании обобщенных показателей содержащихся в отчетности.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баланс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 (ф. 0503130);</w:t>
      </w:r>
    </w:p>
    <w:p w:rsidR="00596E13" w:rsidRPr="00837CFD" w:rsidRDefault="00596E13" w:rsidP="00596E1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 отчет о финансовых результатах деятельности (ф,0503121);</w:t>
      </w:r>
    </w:p>
    <w:p w:rsidR="00596E13" w:rsidRPr="00837CFD" w:rsidRDefault="00596E13" w:rsidP="00596E1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 (ф.0503127);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 движении денежных средств (ф.050123);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пояснительная записка к годовому отчету (ф.0503160).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Обобщенные данные представлены Финансовым управлением Администрации муниципального образования «Ярцевский муниципальный округ» Смоленской области в следующих формах бюджетной отчетности: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баланс исполнения бюджета (ф.0503120);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 финансовых результатах деятельности (ф.0503121);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 движении денежных средств (ф.050123);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об исполнении бюджета (ф.0503117);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пояснительная записка к отчету об исполнении бюджета (ф.0503160).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Также предоставлен отчет о расходовании средств резервного фонда Администрации муниципального образования.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Проверка форм бюджетной отчётности осуществлялась путём сверки итоговых значений форм отчётности, проверки контрольных соотношений внутри отчёта, контрольных соотношений между показателями форм бюджетной отчётности.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При проверке соответствия бюджетной отчетности главных администраторов бюджетных средств (по основным параметрам: доходы, расходы) отчету об исполнении бюджета по состоянию на 01.01.2026, фактов недостоверности не установлено.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В проверяемом периоде распоряжением Администрации муниципального образования «Ярцевский муниципальный округ» Смоленской области от 24.12.2025 №780-р утверждено три главных администратора доходов: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«Ярцевский муниципальный округ» Смоленской области;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Финансовое управление Администрации муниципального образования «Ярцевский муниципальный округ» Смоленской области;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Управление по образованию и молодежной политике муниципального образования «Ярцевский муниципальный округ» Смоленской области;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, а также перечень главных администраторов источников финансирования дефицита местного бюджета - Финансовое управление муниципального образования «Ярцевский муниципальный округ» Смоленской области. 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Решением Ярцевского окружного Совета депутатов от 25.12.2024 №87 утверждены главные распорядители бюджетных средств: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«Ярцевский муниципальный округ» Смоленской области;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Финансовое управление Администрации муниципального образования;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Управление по образованию и молодежной политике муниципального образования «Ярцевский муниципальный округ» Смоленской области;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Ярцевский окружной Совет депутатов;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Контрольно-ревизионная комиссия муниципального образования «Ярцевский муниципальный округ» Смоленской области.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Результаты анализа и оценка обобщенных показателей форм бюджетной отчетности представлены в настоящем заключении. </w:t>
      </w:r>
    </w:p>
    <w:p w:rsidR="00596E13" w:rsidRPr="00837CFD" w:rsidRDefault="00596E13" w:rsidP="0059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Годовая отчетность за 2025 год составлена по состоянию на 1 января 2026 года, в рублях с точностью до второго десятизначного знака после запятой, что соответствует п.9 Инструкции  № 191н.</w:t>
      </w:r>
    </w:p>
    <w:p w:rsidR="00E016B7" w:rsidRPr="00837CFD" w:rsidRDefault="00E016B7" w:rsidP="00596E1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ходе проведения экспертно-аналитического мероприятия на тождественность показателей бюджетной отчетности и данных бюджетного учета рассмотрены данные регистров бухгалтерского учета Финансового управления, а также Ярцевского окружного Совета депутатов, расхождений не установлено.</w:t>
      </w:r>
    </w:p>
    <w:p w:rsidR="00596E13" w:rsidRPr="00837CFD" w:rsidRDefault="00596E13" w:rsidP="00596E1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>Первоначальным решением Ярцевского окружного Совета депутатов от 20.12.2024 № 87 «О бюджете муниципального образования «Ярцевский муниципальный округ» Смоленской области на 2025 год и плановый период 2026 и 2027 годов» утверждены основные характеристики бюджета на 2025 год по доходам и расходам в соответствующих суммах 1 439 883,2 тыс. рублей и 1 436 716,7 тыс. рублей, с профицитом 3 166,5 тыс. рублей.</w:t>
      </w:r>
      <w:proofErr w:type="gramEnd"/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В ходе исполнения решения о бюджете на 2025 год в первоначально утвержденные назначения четыре раза вносились изменения и дополнения, решениями Ярцевского окружного Совета депутатов (от 30.04.2025 №115, 27.08.2025 №187, 29.10.2025 №207, 22.12.2025 №249).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результате окончательно бюджет муниципального образования «Ярцев</w:t>
      </w:r>
      <w:proofErr w:type="gramStart"/>
      <w:r w:rsidRPr="00837CF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>кий муниципальный округ» Смоленской области на 2025 год утвержден: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- по доходам  в сумме </w:t>
      </w:r>
      <w:r w:rsidRPr="00837CFD">
        <w:rPr>
          <w:rFonts w:ascii="Times New Roman" w:hAnsi="Times New Roman" w:cs="Times New Roman"/>
          <w:sz w:val="28"/>
          <w:szCs w:val="28"/>
          <w:u w:val="single"/>
        </w:rPr>
        <w:t>2 061 548,9 тыс. рублей</w:t>
      </w:r>
      <w:r w:rsidRPr="00837CFD">
        <w:rPr>
          <w:rFonts w:ascii="Times New Roman" w:hAnsi="Times New Roman" w:cs="Times New Roman"/>
          <w:sz w:val="28"/>
          <w:szCs w:val="28"/>
        </w:rPr>
        <w:t>;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- по расходам  в сумме </w:t>
      </w:r>
      <w:r w:rsidRPr="00837CFD">
        <w:rPr>
          <w:rFonts w:ascii="Times New Roman" w:hAnsi="Times New Roman" w:cs="Times New Roman"/>
          <w:sz w:val="28"/>
          <w:szCs w:val="28"/>
          <w:u w:val="single"/>
        </w:rPr>
        <w:t>2 081 667,2 тыс. рублей</w:t>
      </w:r>
      <w:r w:rsidRPr="00837CFD">
        <w:rPr>
          <w:rFonts w:ascii="Times New Roman" w:hAnsi="Times New Roman" w:cs="Times New Roman"/>
          <w:sz w:val="28"/>
          <w:szCs w:val="28"/>
        </w:rPr>
        <w:t>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>- дефицит бюджета 20 118,3 тыс. рублей.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Данные об изменении в бюджет приведены в таблице 1</w:t>
      </w:r>
    </w:p>
    <w:p w:rsidR="00837CFD" w:rsidRPr="00837CFD" w:rsidRDefault="00837CFD" w:rsidP="00837CF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1 (тыс. рублей)</w:t>
      </w:r>
    </w:p>
    <w:tbl>
      <w:tblPr>
        <w:tblStyle w:val="a3"/>
        <w:tblW w:w="9614" w:type="dxa"/>
        <w:tblLayout w:type="fixed"/>
        <w:tblLook w:val="04A0"/>
      </w:tblPr>
      <w:tblGrid>
        <w:gridCol w:w="1668"/>
        <w:gridCol w:w="1275"/>
        <w:gridCol w:w="1276"/>
        <w:gridCol w:w="709"/>
        <w:gridCol w:w="1284"/>
        <w:gridCol w:w="1325"/>
        <w:gridCol w:w="850"/>
        <w:gridCol w:w="1227"/>
      </w:tblGrid>
      <w:tr w:rsidR="00837CFD" w:rsidRPr="00837CFD" w:rsidTr="00837CFD">
        <w:tc>
          <w:tcPr>
            <w:tcW w:w="1668" w:type="dxa"/>
          </w:tcPr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Дата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решения о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корректировке</w:t>
            </w:r>
          </w:p>
          <w:p w:rsidR="00837CFD" w:rsidRPr="00837CFD" w:rsidRDefault="00837CFD" w:rsidP="00837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Первоначально утвержденные назначения по доходам</w:t>
            </w:r>
          </w:p>
        </w:tc>
        <w:tc>
          <w:tcPr>
            <w:tcW w:w="1276" w:type="dxa"/>
          </w:tcPr>
          <w:p w:rsidR="00837CFD" w:rsidRPr="00837CFD" w:rsidRDefault="00837CFD" w:rsidP="00837CFD">
            <w:pPr>
              <w:shd w:val="clear" w:color="auto" w:fill="FFFFFF"/>
              <w:ind w:right="-108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Увеличение/</w:t>
            </w:r>
          </w:p>
          <w:p w:rsidR="00837CFD" w:rsidRPr="00837CFD" w:rsidRDefault="00837CFD" w:rsidP="00837CFD">
            <w:pPr>
              <w:shd w:val="clear" w:color="auto" w:fill="FFFFFF"/>
              <w:ind w:right="-108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уменьшение</w:t>
            </w:r>
          </w:p>
          <w:p w:rsidR="00837CFD" w:rsidRPr="00837CFD" w:rsidRDefault="00837CFD" w:rsidP="00837CFD">
            <w:pPr>
              <w:shd w:val="clear" w:color="auto" w:fill="FFFFFF"/>
              <w:ind w:right="-108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доходной</w:t>
            </w:r>
          </w:p>
          <w:p w:rsidR="00837CFD" w:rsidRPr="00837CFD" w:rsidRDefault="00837CFD" w:rsidP="00837CFD">
            <w:pPr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части</w:t>
            </w:r>
          </w:p>
        </w:tc>
        <w:tc>
          <w:tcPr>
            <w:tcW w:w="709" w:type="dxa"/>
          </w:tcPr>
          <w:p w:rsidR="00837CFD" w:rsidRPr="00837CFD" w:rsidRDefault="00837CFD" w:rsidP="00837CFD">
            <w:pPr>
              <w:shd w:val="clear" w:color="auto" w:fill="FFFFFF"/>
              <w:ind w:left="-108" w:right="-108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% к первоначальному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плану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(ИТОГО)</w:t>
            </w:r>
          </w:p>
          <w:p w:rsidR="00837CFD" w:rsidRPr="00837CFD" w:rsidRDefault="00837CFD" w:rsidP="00837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Первоначально утвержденные назначения по расходам</w:t>
            </w:r>
          </w:p>
        </w:tc>
        <w:tc>
          <w:tcPr>
            <w:tcW w:w="1325" w:type="dxa"/>
          </w:tcPr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Увеличение/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уменьшение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расходной части</w:t>
            </w:r>
          </w:p>
        </w:tc>
        <w:tc>
          <w:tcPr>
            <w:tcW w:w="850" w:type="dxa"/>
          </w:tcPr>
          <w:p w:rsidR="00837CFD" w:rsidRPr="00837CFD" w:rsidRDefault="00837CFD" w:rsidP="00837CFD">
            <w:pPr>
              <w:shd w:val="clear" w:color="auto" w:fill="FFFFFF"/>
              <w:ind w:right="-51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% к первоначальному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плану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(ИТОГО)</w:t>
            </w:r>
          </w:p>
          <w:p w:rsidR="00837CFD" w:rsidRPr="00837CFD" w:rsidRDefault="00837CFD" w:rsidP="00837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Результат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proofErr w:type="gramStart"/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(сбалансирован</w:t>
            </w:r>
            <w:proofErr w:type="gramEnd"/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proofErr w:type="spellStart"/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-д</w:t>
            </w:r>
            <w:proofErr w:type="gramEnd"/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ефицит,</w:t>
            </w:r>
          </w:p>
          <w:p w:rsidR="00837CFD" w:rsidRPr="00837CFD" w:rsidRDefault="00837CFD" w:rsidP="00837CF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7CFD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+профицит)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от 25.12.2024 № 87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1 439 883,2</w:t>
            </w: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1 436 716,7</w:t>
            </w: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3 166,5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от 30.04.2025  № 115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+387 151,0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ind w:left="-79" w:right="-134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+26,9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+423 315,5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+29,5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-32 998,0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от 27.08.2025  № 187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+165 642,3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+9,1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+192 539,3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+10,4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-59 895,0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от 29.10.2025</w:t>
            </w:r>
          </w:p>
          <w:p w:rsidR="00837CFD" w:rsidRPr="00837CFD" w:rsidRDefault="00837CFD" w:rsidP="00837CFD">
            <w:pPr>
              <w:tabs>
                <w:tab w:val="left" w:pos="360"/>
                <w:tab w:val="center" w:pos="793"/>
              </w:tabs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№ 207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+257,3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+0,1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+30 608,8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+1,5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-90 246,5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от 22.12.2025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№ 249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+68 615,1  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+3,4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-1 513,1  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-0,1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-67 102,0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Итого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поправок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+621 665,7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+43,2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+644 950,5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+44,9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-20 118,3</w:t>
            </w:r>
          </w:p>
        </w:tc>
      </w:tr>
      <w:tr w:rsidR="00837CFD" w:rsidRPr="00837CFD" w:rsidTr="00837CFD">
        <w:tc>
          <w:tcPr>
            <w:tcW w:w="1668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ИТОГО по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бюджету</w:t>
            </w:r>
          </w:p>
        </w:tc>
        <w:tc>
          <w:tcPr>
            <w:tcW w:w="127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2 061 548,9</w:t>
            </w:r>
          </w:p>
        </w:tc>
        <w:tc>
          <w:tcPr>
            <w:tcW w:w="709" w:type="dxa"/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143,18</w:t>
            </w:r>
          </w:p>
        </w:tc>
        <w:tc>
          <w:tcPr>
            <w:tcW w:w="1284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25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 xml:space="preserve">2 081 667,2  </w:t>
            </w:r>
          </w:p>
        </w:tc>
        <w:tc>
          <w:tcPr>
            <w:tcW w:w="850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144,9</w:t>
            </w:r>
          </w:p>
        </w:tc>
        <w:tc>
          <w:tcPr>
            <w:tcW w:w="1227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-20 118,3</w:t>
            </w:r>
          </w:p>
        </w:tc>
      </w:tr>
    </w:tbl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Данные о внесенных изменениях по видам доходов приведены в таблице 2.   </w:t>
      </w:r>
    </w:p>
    <w:p w:rsidR="00837CFD" w:rsidRPr="00837CFD" w:rsidRDefault="00837CFD" w:rsidP="00837CFD">
      <w:pPr>
        <w:spacing w:after="0" w:line="240" w:lineRule="auto"/>
        <w:ind w:firstLine="709"/>
        <w:jc w:val="right"/>
        <w:rPr>
          <w:sz w:val="20"/>
          <w:szCs w:val="20"/>
        </w:rPr>
      </w:pPr>
    </w:p>
    <w:p w:rsidR="00837CFD" w:rsidRPr="00837CFD" w:rsidRDefault="00837CFD" w:rsidP="00837CFD">
      <w:pPr>
        <w:jc w:val="center"/>
        <w:rPr>
          <w:rFonts w:ascii="Times New Roman" w:hAnsi="Times New Roman" w:cs="Times New Roman"/>
          <w:sz w:val="20"/>
          <w:szCs w:val="20"/>
        </w:rPr>
        <w:sectPr w:rsidR="00837CFD" w:rsidRPr="00837CFD" w:rsidSect="00837CF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tblpY="1"/>
        <w:tblOverlap w:val="never"/>
        <w:tblW w:w="15745" w:type="dxa"/>
        <w:tblLayout w:type="fixed"/>
        <w:tblLook w:val="04A0"/>
      </w:tblPr>
      <w:tblGrid>
        <w:gridCol w:w="1854"/>
        <w:gridCol w:w="4997"/>
        <w:gridCol w:w="1284"/>
        <w:gridCol w:w="1142"/>
        <w:gridCol w:w="1142"/>
        <w:gridCol w:w="1142"/>
        <w:gridCol w:w="1142"/>
        <w:gridCol w:w="1899"/>
        <w:gridCol w:w="1143"/>
      </w:tblGrid>
      <w:tr w:rsidR="00837CFD" w:rsidRPr="00837CFD" w:rsidTr="00837CFD">
        <w:trPr>
          <w:trHeight w:val="431"/>
        </w:trPr>
        <w:tc>
          <w:tcPr>
            <w:tcW w:w="185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37CFD" w:rsidRPr="00837CFD" w:rsidRDefault="00837CFD" w:rsidP="00837CFD">
            <w:pPr>
              <w:ind w:left="-109" w:right="-108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13891" w:type="dxa"/>
            <w:gridSpan w:val="8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7CFD" w:rsidRPr="00837CFD" w:rsidRDefault="00837CFD" w:rsidP="00837CFD">
            <w:pPr>
              <w:ind w:left="-109" w:right="-108"/>
              <w:jc w:val="center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 xml:space="preserve">                                                                                                                                                                               таблица 2</w:t>
            </w:r>
          </w:p>
        </w:tc>
      </w:tr>
      <w:tr w:rsidR="00837CFD" w:rsidRPr="00837CFD" w:rsidTr="00837CFD">
        <w:trPr>
          <w:gridAfter w:val="1"/>
          <w:wAfter w:w="1143" w:type="dxa"/>
          <w:trHeight w:val="871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                                             Дата, номер решения о    бюджете                                                                                                                                           Наименование  вида </w:t>
            </w:r>
          </w:p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(подвида) доходов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25.12.2024</w:t>
            </w:r>
          </w:p>
          <w:p w:rsidR="00837CFD" w:rsidRPr="00837CFD" w:rsidRDefault="00837CFD" w:rsidP="00837CFD">
            <w:pPr>
              <w:tabs>
                <w:tab w:val="left" w:pos="360"/>
                <w:tab w:val="center" w:pos="884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87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 30.04.2025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115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от 27.08.2025  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187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 29.10.2025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207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 22.12.2025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249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Динамика за год в целом (прирост/снижение)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CFD">
              <w:rPr>
                <w:rFonts w:ascii="Times New Roman" w:hAnsi="Times New Roman" w:cs="Times New Roman"/>
                <w:sz w:val="16"/>
                <w:szCs w:val="16"/>
              </w:rPr>
              <w:t>тыс. тыс. рублей</w:t>
            </w:r>
            <w:proofErr w:type="gramStart"/>
            <w:r w:rsidRPr="00837CFD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CFD">
              <w:rPr>
                <w:rFonts w:ascii="Times New Roman" w:hAnsi="Times New Roman" w:cs="Times New Roman"/>
                <w:sz w:val="16"/>
                <w:szCs w:val="16"/>
              </w:rPr>
              <w:t>(гр.6 - (/) гр.2)</w:t>
            </w:r>
          </w:p>
        </w:tc>
      </w:tr>
      <w:tr w:rsidR="00837CFD" w:rsidRPr="00837CFD" w:rsidTr="00837CFD">
        <w:trPr>
          <w:gridAfter w:val="1"/>
          <w:wAfter w:w="1143" w:type="dxa"/>
          <w:trHeight w:val="158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37CF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всего: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610 860,9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+70 531,9 (+13,1)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587 046,7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+69 388,6 (+13,4)</w:t>
            </w:r>
          </w:p>
        </w:tc>
      </w:tr>
      <w:tr w:rsidR="00837CFD" w:rsidRPr="00837CFD" w:rsidTr="00837CFD">
        <w:trPr>
          <w:gridAfter w:val="1"/>
          <w:wAfter w:w="1143" w:type="dxa"/>
          <w:trHeight w:val="220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-налог на доходы физических лиц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438 305,8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+34 403,9 (+8,5)</w:t>
            </w:r>
          </w:p>
        </w:tc>
      </w:tr>
      <w:tr w:rsidR="00837CFD" w:rsidRPr="00837CFD" w:rsidTr="00837CFD">
        <w:trPr>
          <w:gridAfter w:val="1"/>
          <w:wAfter w:w="1143" w:type="dxa"/>
          <w:trHeight w:val="464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-налоги на товары (работы и услуги) реализуемые на территории Российской Федерации 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15 600,2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--- (---)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- налоги на совокупный доход 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35 253,0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+2 759,9 (+8,5)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налоги на имущество (налог на игорный бизнес)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53 046,6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53 046,6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53 046,6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53 046,6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66 733,3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+13 686,7 (+25,8)</w:t>
            </w:r>
          </w:p>
        </w:tc>
      </w:tr>
      <w:tr w:rsidR="00837CFD" w:rsidRPr="00837CFD" w:rsidTr="00837CFD">
        <w:trPr>
          <w:gridAfter w:val="1"/>
          <w:wAfter w:w="1143" w:type="dxa"/>
          <w:trHeight w:val="464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налоги, сборы и регулярные платежи за пользование природными ресурсами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6 642,4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+472,3 (+206,1)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государственная пошлина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24 512,0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+14 065,8 (+134,6)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Неналоговые доходы, в том числе: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23 814,2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+1 143,3 (+5,0)</w:t>
            </w:r>
          </w:p>
        </w:tc>
      </w:tr>
      <w:tr w:rsidR="00837CFD" w:rsidRPr="00837CFD" w:rsidTr="00837CFD">
        <w:trPr>
          <w:gridAfter w:val="1"/>
          <w:wAfter w:w="1143" w:type="dxa"/>
          <w:trHeight w:val="464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14 107,1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+860,7 (+6,5)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платежи при пользовании природными ресурсами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397,4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--- (---)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+43,2 (+130,5)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доходы от продажи материальных и нематериальных активов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5 525,9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-386,1 (-6,5)</w:t>
            </w:r>
          </w:p>
        </w:tc>
      </w:tr>
      <w:tr w:rsidR="00837CFD" w:rsidRPr="00837CFD" w:rsidTr="00837CFD">
        <w:trPr>
          <w:gridAfter w:val="1"/>
          <w:wAfter w:w="1143" w:type="dxa"/>
          <w:trHeight w:val="220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штрафы, санкции, возмещение ущерба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3 076,6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3 076,6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3 076,6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3 076,6 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3 464,4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+387,8 (+12,6)</w:t>
            </w:r>
          </w:p>
        </w:tc>
      </w:tr>
      <w:tr w:rsidR="00837CFD" w:rsidRPr="00837CFD" w:rsidTr="00837CFD">
        <w:trPr>
          <w:gridAfter w:val="1"/>
          <w:wAfter w:w="1143" w:type="dxa"/>
          <w:trHeight w:val="220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прочие неналоговые доходы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+237,7 (в 4,5 раза)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899 554,2 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1 286 705,2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1 452 347,5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1 452 604,8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53" w:right="-16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1 450 688,0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+551 133,8 (+61,3)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дотации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337 194,0 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351 546,6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375 399,6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375 399,6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375 442,5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+38 248,5 (+11,3)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- субсидии 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320 399,8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393 732,3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392 364,6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392 831,2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+392 831,2 (---)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субвенции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562 360,2 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609 480,3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677 937,1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677 937,1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675 914,5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+113 554,3 (+20,2)</w:t>
            </w:r>
          </w:p>
        </w:tc>
      </w:tr>
      <w:tr w:rsidR="00837CFD" w:rsidRPr="00837CFD" w:rsidTr="00837CFD">
        <w:trPr>
          <w:gridAfter w:val="1"/>
          <w:wAfter w:w="1143" w:type="dxa"/>
          <w:trHeight w:val="220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- иные межбюджетные трансферты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5 278,5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5 278,5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6 903,5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6 903,5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+6 903,5 (--)</w:t>
            </w:r>
          </w:p>
        </w:tc>
      </w:tr>
      <w:tr w:rsidR="00837CFD" w:rsidRPr="00837CFD" w:rsidTr="00837CFD">
        <w:trPr>
          <w:gridAfter w:val="1"/>
          <w:wAfter w:w="1143" w:type="dxa"/>
          <w:trHeight w:val="659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-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3 770,9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+3 770,9 (---)</w:t>
            </w:r>
          </w:p>
        </w:tc>
      </w:tr>
      <w:tr w:rsidR="00837CFD" w:rsidRPr="00837CFD" w:rsidTr="00837CFD">
        <w:trPr>
          <w:gridAfter w:val="1"/>
          <w:wAfter w:w="1143" w:type="dxa"/>
          <w:trHeight w:val="440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-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-4 174,6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-4 174,6 (---)</w:t>
            </w:r>
          </w:p>
        </w:tc>
      </w:tr>
      <w:tr w:rsidR="00837CFD" w:rsidRPr="00837CFD" w:rsidTr="00837CFD">
        <w:trPr>
          <w:gridAfter w:val="1"/>
          <w:wAfter w:w="1143" w:type="dxa"/>
          <w:trHeight w:val="232"/>
        </w:trPr>
        <w:tc>
          <w:tcPr>
            <w:tcW w:w="6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1 439 883,2  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1 827 034,2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1 992 676,5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1 992 933,8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2 061 548,9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7CFD" w:rsidRPr="00837CFD" w:rsidRDefault="00837CFD" w:rsidP="00837CFD">
            <w:pPr>
              <w:ind w:left="-108" w:right="-4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+621 665,7 (+43,2)</w:t>
            </w:r>
          </w:p>
        </w:tc>
      </w:tr>
    </w:tbl>
    <w:p w:rsidR="00837CFD" w:rsidRPr="00837CFD" w:rsidRDefault="00837CFD" w:rsidP="00837CFD">
      <w:pPr>
        <w:spacing w:after="0" w:line="240" w:lineRule="auto"/>
        <w:ind w:firstLine="709"/>
        <w:jc w:val="both"/>
        <w:rPr>
          <w:sz w:val="28"/>
          <w:szCs w:val="28"/>
          <w:highlight w:val="yellow"/>
        </w:rPr>
        <w:sectPr w:rsidR="00837CFD" w:rsidRPr="00837CFD" w:rsidSect="00837CFD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плановых назначений расходной части бюджета произошло за счет увеличения плановых назначений по доходам, а также за счет остатков средств на счете бюджета по состоянию на 01.01.2025. Данные о внесенных изменениях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>решениями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о бюджете по разделам приведены в таблице 3.   </w:t>
      </w:r>
    </w:p>
    <w:p w:rsidR="00837CFD" w:rsidRPr="00837CFD" w:rsidRDefault="00837CFD" w:rsidP="00837CF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3 (тыс. рублей)</w:t>
      </w:r>
    </w:p>
    <w:tbl>
      <w:tblPr>
        <w:tblStyle w:val="a3"/>
        <w:tblW w:w="9441" w:type="dxa"/>
        <w:jc w:val="center"/>
        <w:tblLayout w:type="fixed"/>
        <w:tblLook w:val="04A0"/>
      </w:tblPr>
      <w:tblGrid>
        <w:gridCol w:w="2122"/>
        <w:gridCol w:w="974"/>
        <w:gridCol w:w="1083"/>
        <w:gridCol w:w="1083"/>
        <w:gridCol w:w="1083"/>
        <w:gridCol w:w="1084"/>
        <w:gridCol w:w="1006"/>
        <w:gridCol w:w="156"/>
        <w:gridCol w:w="850"/>
      </w:tblGrid>
      <w:tr w:rsidR="00837CFD" w:rsidRPr="00837CFD" w:rsidTr="00837CFD">
        <w:trPr>
          <w:cantSplit/>
          <w:trHeight w:val="117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 xml:space="preserve">  Дата, номер решения о                                           бюджете</w:t>
            </w:r>
          </w:p>
          <w:p w:rsidR="00837CFD" w:rsidRPr="00837CFD" w:rsidRDefault="00837CFD" w:rsidP="00837CFD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7CFD" w:rsidRPr="00837CFD" w:rsidRDefault="00837CFD" w:rsidP="00837CFD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7CFD" w:rsidRPr="00837CFD" w:rsidRDefault="00837CFD" w:rsidP="00837CFD">
            <w:pPr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раздела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25.12.2024</w:t>
            </w:r>
          </w:p>
          <w:p w:rsidR="00837CFD" w:rsidRPr="00837CFD" w:rsidRDefault="00837CFD" w:rsidP="00837CFD">
            <w:pPr>
              <w:tabs>
                <w:tab w:val="left" w:pos="360"/>
                <w:tab w:val="center" w:pos="884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87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 30.04.2025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115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от 27.08.2025  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187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 29.10.2025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207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 22.12.2025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№ 249</w:t>
            </w:r>
          </w:p>
        </w:tc>
        <w:tc>
          <w:tcPr>
            <w:tcW w:w="20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Динамика за год в целом (прирост/снижение)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CFD">
              <w:rPr>
                <w:rFonts w:ascii="Times New Roman" w:hAnsi="Times New Roman" w:cs="Times New Roman"/>
                <w:sz w:val="16"/>
                <w:szCs w:val="16"/>
              </w:rPr>
              <w:t>тыс. тыс. рублей</w:t>
            </w:r>
            <w:proofErr w:type="gramStart"/>
            <w:r w:rsidRPr="00837CFD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CFD">
              <w:rPr>
                <w:rFonts w:ascii="Times New Roman" w:hAnsi="Times New Roman" w:cs="Times New Roman"/>
                <w:sz w:val="16"/>
                <w:szCs w:val="16"/>
              </w:rPr>
              <w:t>(гр.6 - (/) гр.2)</w:t>
            </w:r>
          </w:p>
        </w:tc>
      </w:tr>
      <w:tr w:rsidR="00837CFD" w:rsidRPr="00837CFD" w:rsidTr="00837CFD">
        <w:trPr>
          <w:trHeight w:val="227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0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</w:tr>
      <w:tr w:rsidR="00837CFD" w:rsidRPr="00837CFD" w:rsidTr="00837CFD">
        <w:trPr>
          <w:trHeight w:val="438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Всего расходы бюджета: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1 436 716,7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1 860 032,2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2 052 571,5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2 083 180,3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2 081 667,2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+644 950,5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(+44,9)</w:t>
            </w:r>
          </w:p>
        </w:tc>
      </w:tr>
      <w:tr w:rsidR="00837CFD" w:rsidRPr="00837CFD" w:rsidTr="00837CFD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 xml:space="preserve">Общегосударственные вопросы 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12" w:right="-1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183 058,7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205 840,1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206 603,4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215 978,2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219 137,9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+36 079,2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(+19,7)</w:t>
            </w:r>
          </w:p>
        </w:tc>
      </w:tr>
      <w:tr w:rsidR="00837CFD" w:rsidRPr="00837CFD" w:rsidTr="00837CFD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Национальная оборона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405,2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415,9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418,6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418,6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418,6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+13,4 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(+3,3)</w:t>
            </w:r>
          </w:p>
        </w:tc>
      </w:tr>
      <w:tr w:rsidR="00837CFD" w:rsidRPr="00837CFD" w:rsidTr="00837CFD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448,3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448,3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iCs/>
                <w:sz w:val="20"/>
                <w:szCs w:val="20"/>
              </w:rPr>
              <w:t>420,3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420,3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588,3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+140,0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(+31,2)</w:t>
            </w:r>
          </w:p>
        </w:tc>
      </w:tr>
      <w:tr w:rsidR="00837CFD" w:rsidRPr="00837CFD" w:rsidTr="00837CFD">
        <w:trPr>
          <w:trHeight w:val="438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Национальная экономика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76 600,9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143 651,5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145 028,2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138 864,9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136 241,8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+59 640,9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(+77,9)</w:t>
            </w:r>
          </w:p>
        </w:tc>
      </w:tr>
      <w:tr w:rsidR="00837CFD" w:rsidRPr="00837CFD" w:rsidTr="00837CFD">
        <w:trPr>
          <w:trHeight w:val="681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Жилищно - коммунальное хозяйство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12" w:right="-1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106 924,9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230 133,2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256 863,7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275 299,1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270 832,3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+163 907,4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(+153,3)</w:t>
            </w:r>
          </w:p>
        </w:tc>
      </w:tr>
      <w:tr w:rsidR="00837CFD" w:rsidRPr="00837CFD" w:rsidTr="00837CFD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Охрана окружающей среды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889,0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889,0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889,0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(0,0)</w:t>
            </w:r>
          </w:p>
        </w:tc>
      </w:tr>
      <w:tr w:rsidR="00837CFD" w:rsidRPr="00837CFD" w:rsidTr="00837CFD">
        <w:trPr>
          <w:trHeight w:val="31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Образование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112" w:right="-1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853 671,1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992 658,5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1 076 446,9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1 081 850,9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1 087 274,2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+233 603,1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(+27,4)</w:t>
            </w:r>
          </w:p>
        </w:tc>
      </w:tr>
      <w:tr w:rsidR="00837CFD" w:rsidRPr="00837CFD" w:rsidTr="00837CFD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Культура,  кинематография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97 096,6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114 607,4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129 595,7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129 667,2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130 002,0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+32 905,4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(+33,9)</w:t>
            </w:r>
          </w:p>
        </w:tc>
      </w:tr>
      <w:tr w:rsidR="00837CFD" w:rsidRPr="00837CFD" w:rsidTr="00837CFD">
        <w:trPr>
          <w:trHeight w:val="438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>Социальная политика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57 160,4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57 990,1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65 590,6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65 925,6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63 572,5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+6 412,1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(+11,2)</w:t>
            </w:r>
          </w:p>
        </w:tc>
      </w:tr>
      <w:tr w:rsidR="00837CFD" w:rsidRPr="00837CFD" w:rsidTr="00837CFD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 xml:space="preserve">Физическая культура и спорт 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59 506,3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112 442,9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169 759,8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172 911,2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172 517,9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+113 011,6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(+189,9)</w:t>
            </w:r>
          </w:p>
        </w:tc>
      </w:tr>
      <w:tr w:rsidR="00837CFD" w:rsidRPr="00837CFD" w:rsidTr="00837CFD">
        <w:trPr>
          <w:trHeight w:val="877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37CFD">
              <w:rPr>
                <w:rFonts w:ascii="Times New Roman" w:hAnsi="Times New Roman" w:cs="Times New Roman"/>
                <w:sz w:val="19"/>
                <w:szCs w:val="19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955,3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955,3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192,8</w:t>
            </w:r>
          </w:p>
        </w:tc>
        <w:tc>
          <w:tcPr>
            <w:tcW w:w="1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-762,2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ind w:left="-38" w:right="-1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(-79,8)</w:t>
            </w:r>
          </w:p>
        </w:tc>
      </w:tr>
    </w:tbl>
    <w:p w:rsidR="00837CFD" w:rsidRPr="00837CFD" w:rsidRDefault="00837CFD" w:rsidP="00837CFD">
      <w:pPr>
        <w:spacing w:after="0" w:line="240" w:lineRule="auto"/>
        <w:ind w:firstLine="709"/>
        <w:rPr>
          <w:sz w:val="20"/>
          <w:szCs w:val="20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ходе анализа установлено, что в отчете об исполнении бюджета годовые бюджетные назначения по расходам отличны от бюджетных назначений утвержденных решением Ярцевского окружного Совета депутатов от 25.12.2024 №87 (в последней редакции от 22.12.2025 №249).</w:t>
      </w:r>
    </w:p>
    <w:p w:rsidR="00837CFD" w:rsidRPr="00837CFD" w:rsidRDefault="00837CFD" w:rsidP="00837CF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 № 4 (тыс. руб.)</w:t>
      </w:r>
    </w:p>
    <w:tbl>
      <w:tblPr>
        <w:tblStyle w:val="a3"/>
        <w:tblW w:w="0" w:type="auto"/>
        <w:tblLook w:val="04A0"/>
      </w:tblPr>
      <w:tblGrid>
        <w:gridCol w:w="3651"/>
        <w:gridCol w:w="2268"/>
        <w:gridCol w:w="2086"/>
        <w:gridCol w:w="1565"/>
      </w:tblGrid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Наименование раздела (код раздела)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Утверждено решением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 о бюджете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 на 2025 год</w:t>
            </w:r>
          </w:p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№ 249 от 22.12.2025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Утверждено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бюджетной росписью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с учетом изменений </w:t>
            </w:r>
          </w:p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 2025 год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Отклонения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+; -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гр.3-2</w:t>
            </w:r>
          </w:p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Общегосударственные вопросы (0100)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219 137,9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219 237,9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+100,0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Национальная оборона (0200)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418,6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418,6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</w:t>
            </w:r>
            <w:r w:rsidRPr="00837CFD">
              <w:rPr>
                <w:rFonts w:ascii="Times New Roman" w:hAnsi="Times New Roman" w:cs="Times New Roman"/>
                <w:color w:val="000000"/>
              </w:rPr>
              <w:lastRenderedPageBreak/>
              <w:t>правоохранительная деятельность (0300)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lastRenderedPageBreak/>
              <w:t>588,3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588,3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lastRenderedPageBreak/>
              <w:t>Национальная экономика (0400)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136 241,8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136 241,8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Жилищно-коммунальное хозяйство (0500)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270 832,3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270 832,3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Охрана окружающей среды (0600)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889,0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889,0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Образование (0700)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1 087 274,2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1 087 702,9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+428,7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Культура, кинематография (0800)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130 002,0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130 002,0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Социальная политика (1000)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63 572,5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62 842,5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-730,0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Физическая культура и спорт (1100)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172 517,9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166 293,1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-6 224,8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Обслуживание государственного муниципального долга (1300)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192,8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192,8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37CFD" w:rsidRPr="00837CFD" w:rsidTr="00837CFD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2 081 667,2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2 075 241,1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-6 426,1</w:t>
            </w:r>
          </w:p>
        </w:tc>
      </w:tr>
    </w:tbl>
    <w:p w:rsidR="00837CFD" w:rsidRPr="00837CFD" w:rsidRDefault="00837CFD" w:rsidP="00837CF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20"/>
        <w:jc w:val="both"/>
        <w:rPr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Наличие отклонений годовых бюджетных назначений по расходам в сумме 6 426,1 тыс. рублей связано с внесением изменений в сводную бюджетную роспись без внесения изменений в решение о бюджете на основании статьи 217 и статьи 232 Бюджетного кодекса РФ.</w:t>
      </w:r>
      <w:r w:rsidRPr="00837CFD">
        <w:rPr>
          <w:sz w:val="28"/>
          <w:szCs w:val="28"/>
        </w:rPr>
        <w:t xml:space="preserve"> 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В связи с вышеизложенным, далее рассматривается соотношение показателей отчёта об исполнении бюджета муниципального округа с плановыми показателями, с учетом внесённых  изменений Финансовым управлением Администрации муниципального образования «Ярцевский муниципальный округ» Смоленской области. 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Общая оценка исполнения бюджета муниципального образования «Ярцев</w:t>
      </w:r>
      <w:proofErr w:type="gramStart"/>
      <w:r w:rsidRPr="00837CF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>кий муниципальный округ» Смоленской области за 2025 год</w:t>
      </w:r>
    </w:p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Согласно представленному отчету об исполнении бюджета за 2025 год доходная часть бюджета исполнена в сумме 2 043 758,7 тыс. рублей или на 99,1% от плановых показателей (2 061 548,9 тыс. рублей).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исполнены в сумме 2 018 417,7 тыс. рублей или 97,3% от объема запланированных годовых назначений (2 075 241,1 тыс. рублей).    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Бюджет муниципального образования «Ярцевский муниципальный округ» Смоленской области исполнен с профицитом в сумме 25 341,0 тыс. рублей (при плановом дефиците 20 118,3 тыс. рублей). </w:t>
      </w: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исполнения доходной части бюджета за 2025 год представлен в таблице 5:</w:t>
      </w: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37CFD" w:rsidRPr="00837CFD" w:rsidRDefault="00837CFD" w:rsidP="00837C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lastRenderedPageBreak/>
        <w:t>таблица № 5</w:t>
      </w:r>
    </w:p>
    <w:tbl>
      <w:tblPr>
        <w:tblStyle w:val="a3"/>
        <w:tblW w:w="9855" w:type="dxa"/>
        <w:jc w:val="center"/>
        <w:tblLayout w:type="fixed"/>
        <w:tblLook w:val="04A0"/>
      </w:tblPr>
      <w:tblGrid>
        <w:gridCol w:w="3085"/>
        <w:gridCol w:w="1276"/>
        <w:gridCol w:w="1276"/>
        <w:gridCol w:w="1276"/>
        <w:gridCol w:w="850"/>
        <w:gridCol w:w="1134"/>
        <w:gridCol w:w="958"/>
      </w:tblGrid>
      <w:tr w:rsidR="00837CFD" w:rsidRPr="00837CFD" w:rsidTr="00837CFD">
        <w:trPr>
          <w:trHeight w:val="420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Источники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Исполнено,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за 2024 год,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Утвержденные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бюджетные назначения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на 2025 год,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Исполнено,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за 2025 год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Отноше</w:t>
            </w:r>
            <w:proofErr w:type="spellEnd"/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proofErr w:type="spellEnd"/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лей по исполнению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CFD" w:rsidRPr="00837CFD" w:rsidTr="00837CFD">
        <w:trPr>
          <w:trHeight w:val="1644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%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(гр.4 / гр.3)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+/- тыс</w:t>
            </w:r>
            <w:proofErr w:type="gram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(гр.4 – гр.3)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CFD">
              <w:rPr>
                <w:rFonts w:ascii="Times New Roman" w:hAnsi="Times New Roman" w:cs="Times New Roman"/>
                <w:sz w:val="16"/>
                <w:szCs w:val="16"/>
              </w:rPr>
              <w:t>2025/2024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(гр.4 / гр.2)</w:t>
            </w:r>
          </w:p>
        </w:tc>
      </w:tr>
      <w:tr w:rsidR="00837CFD" w:rsidRPr="00837CFD" w:rsidTr="00837CFD">
        <w:trPr>
          <w:trHeight w:val="312"/>
          <w:jc w:val="center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37CFD" w:rsidRPr="00837CFD" w:rsidTr="00837CFD">
        <w:trPr>
          <w:trHeight w:val="241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7CFD">
              <w:rPr>
                <w:rFonts w:ascii="Times New Roman" w:hAnsi="Times New Roman" w:cs="Times New Roman"/>
              </w:rPr>
              <w:t>Доходы бюджета: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1 777 161,1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2 061 548,9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2 043 758,7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-17 790,2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115,0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Налоговые и неналоговые доходы: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504 502,7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610 860,9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615 289,0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4 428,1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122,0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Налоговые доходы: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475 781,4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587 046,7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590 911,1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3 864,4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124,2</w:t>
            </w:r>
          </w:p>
        </w:tc>
      </w:tr>
      <w:tr w:rsidR="00837CFD" w:rsidRPr="00837CFD" w:rsidTr="00837CFD">
        <w:trPr>
          <w:trHeight w:val="19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37CFD" w:rsidRPr="00837CFD" w:rsidTr="00837CFD">
        <w:trPr>
          <w:trHeight w:val="278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370 690,8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438 305,8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436 537,2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-1 768,6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117,8</w:t>
            </w:r>
          </w:p>
        </w:tc>
      </w:tr>
      <w:tr w:rsidR="00837CFD" w:rsidRPr="00837CFD" w:rsidTr="00837CFD">
        <w:trPr>
          <w:trHeight w:val="541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налоги на товары (работы, услуги)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14 495,7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15 600,2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15 401,4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-198,8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106,3</w:t>
            </w:r>
          </w:p>
        </w:tc>
      </w:tr>
      <w:tr w:rsidR="00837CFD" w:rsidRPr="00837CFD" w:rsidTr="00837CFD">
        <w:trPr>
          <w:trHeight w:val="270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налоги на совокупный доход, из них</w:t>
            </w:r>
            <w:proofErr w:type="gramStart"/>
            <w:r w:rsidRPr="00837CFD">
              <w:rPr>
                <w:rFonts w:ascii="Times New Roman" w:hAnsi="Times New Roman" w:cs="Times New Roman"/>
              </w:rPr>
              <w:t>:.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35 253,0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38 053,5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2 800,5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151,9</w:t>
            </w:r>
          </w:p>
        </w:tc>
      </w:tr>
      <w:tr w:rsidR="00837CFD" w:rsidRPr="00837CFD" w:rsidTr="00837CFD">
        <w:trPr>
          <w:trHeight w:val="270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17 137,6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22 411,8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22 732,7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320,9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132,7</w:t>
            </w:r>
          </w:p>
        </w:tc>
      </w:tr>
      <w:tr w:rsidR="00837CFD" w:rsidRPr="00837CFD" w:rsidTr="00837CFD">
        <w:trPr>
          <w:trHeight w:val="270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</w:rPr>
              <w:t xml:space="preserve">  </w:t>
            </w:r>
            <w:r w:rsidRPr="00837CFD">
              <w:rPr>
                <w:rFonts w:ascii="Times New Roman" w:hAnsi="Times New Roman" w:cs="Times New Roman"/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↑ в 47,0 раза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11,4</w:t>
            </w:r>
          </w:p>
        </w:tc>
      </w:tr>
      <w:tr w:rsidR="00837CFD" w:rsidRPr="00837CFD" w:rsidTr="00837CFD">
        <w:trPr>
          <w:trHeight w:val="270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</w:rPr>
              <w:t xml:space="preserve"> </w:t>
            </w:r>
            <w:r w:rsidRPr="00837CFD">
              <w:rPr>
                <w:rFonts w:ascii="Times New Roman" w:hAnsi="Times New Roman" w:cs="Times New Roman"/>
                <w:i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1 063,8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1 064,0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271,3</w:t>
            </w:r>
          </w:p>
        </w:tc>
      </w:tr>
      <w:tr w:rsidR="00837CFD" w:rsidRPr="00837CFD" w:rsidTr="00837CFD">
        <w:trPr>
          <w:trHeight w:val="79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7 487,6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11 777,3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14 252,0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2 474,7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190,4</w:t>
            </w:r>
          </w:p>
        </w:tc>
      </w:tr>
      <w:tr w:rsidR="00837CFD" w:rsidRPr="00837CFD" w:rsidTr="00837CFD">
        <w:trPr>
          <w:trHeight w:val="270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налог на имущество (налог на игорный бизнес)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51 316,3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66 733,3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67 734,7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1 001,7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132,0</w:t>
            </w:r>
          </w:p>
        </w:tc>
      </w:tr>
      <w:tr w:rsidR="00837CFD" w:rsidRPr="00837CFD" w:rsidTr="00837CFD">
        <w:trPr>
          <w:trHeight w:val="303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налоги, сборы и регулярные платежи за пользование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2 196,0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↑в</w:t>
            </w:r>
            <w:proofErr w:type="spellEnd"/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4,2 раза</w:t>
            </w:r>
          </w:p>
        </w:tc>
      </w:tr>
      <w:tr w:rsidR="00837CFD" w:rsidRPr="00837CFD" w:rsidTr="00837CFD">
        <w:trPr>
          <w:trHeight w:val="259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24 512,0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24 346,3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-165,7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201,2</w:t>
            </w:r>
          </w:p>
        </w:tc>
      </w:tr>
      <w:tr w:rsidR="00837CFD" w:rsidRPr="00837CFD" w:rsidTr="00837CFD">
        <w:trPr>
          <w:trHeight w:val="259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Неналоговые доходы: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28 721,3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23 814,2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24 377,9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563,7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84,9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14 148,2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14 107,1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13 830,6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-276,5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97,8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- доходы от оказания платных </w:t>
            </w:r>
            <w:r w:rsidRPr="00837CFD">
              <w:rPr>
                <w:rFonts w:ascii="Times New Roman" w:hAnsi="Times New Roman" w:cs="Times New Roman"/>
              </w:rPr>
              <w:lastRenderedPageBreak/>
              <w:t>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184,8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lastRenderedPageBreak/>
              <w:t>-доходы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5 525,9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6 509,4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56,1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2 476,6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-179,4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132,7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132,3</w:t>
            </w:r>
          </w:p>
        </w:tc>
      </w:tr>
      <w:tr w:rsidR="00837CFD" w:rsidRPr="00837CFD" w:rsidTr="00837CFD">
        <w:trPr>
          <w:trHeight w:val="499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Безвозмездные поступления: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1 272 658,4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1 450 688,0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1 428 469,9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-22 218,1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112,3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380 385,0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375 442,5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375 442,5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257 531,0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392 831,1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368 762,1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-24 069,0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143,2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субвенции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626 244,4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675 914,5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677 969,7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2 055,2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108,3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6 903,6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-204,3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79,8</w:t>
            </w:r>
          </w:p>
        </w:tc>
      </w:tr>
      <w:tr w:rsidR="00837CFD" w:rsidRPr="00837CFD" w:rsidTr="00837CFD">
        <w:trPr>
          <w:trHeight w:val="278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-прочие безвозмездные поступления в бюджеты муниципальных районов (округов)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37CFD" w:rsidRPr="00837CFD" w:rsidTr="00837CFD">
        <w:trPr>
          <w:trHeight w:val="278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 доходы от возврата остатков субсидий, субвенций и иных межбюджетных трансфертов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37CFD" w:rsidRPr="00837CFD" w:rsidTr="00837CF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-возврат остатков субсидий, субвенций и иных межбюджетных трансфертов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-4 174,6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-4 174,6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↑в</w:t>
            </w:r>
            <w:proofErr w:type="spellEnd"/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61,3 раза</w:t>
            </w:r>
          </w:p>
        </w:tc>
      </w:tr>
    </w:tbl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По сравнению с 2024 годом доходы окружного бюджета увеличились на 266 597,6 тыс. рублей или на 15,0%, что связано с ростом безвозмездных поступлений на 155 811,5 тыс. рублей или на 12,3%, и увеличением объема налоговых и неналоговых доходов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110 786,3 тыс. рублей или на 22,0%.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При уточненном плане налоговых и неналоговых поступлений (610 860,9 тыс. рублей) за 2025 год поступило 615 289,0 тыс. рублей или 100,7%, перевыполнение составило 4 428,1 тыс. рублей. 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представленных данных показал, что основную долю (96,0%) в налоговых и неналоговых доходах бюджета на 2025 год занимают налоговые доходы, которые составили 590 911,1 тыс. рублей. Их поступления в сравнении с 2024 годом увеличились на 115 129,7 тыс. рублей или на 24,2%. Неналоговые доходы заметно уступают по удельному весу налоговым доходам, что составляет 4,0%, и в сумме 24 377,9 тыс. рублей.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Следует отметить, что доля налоговых и неналоговых доходов в составе доходных источников бюджета муниципального образования «Ярцев</w:t>
      </w:r>
      <w:proofErr w:type="gramStart"/>
      <w:r w:rsidRPr="00837CF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кий муниципальный округ» Смоленской области в 2025 году составила 30,1%, безвозмездных поступлений 69,9%. </w:t>
      </w:r>
    </w:p>
    <w:p w:rsidR="00837CFD" w:rsidRPr="00837CFD" w:rsidRDefault="00837CFD" w:rsidP="00837CFD">
      <w:pPr>
        <w:tabs>
          <w:tab w:val="left" w:pos="17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Доля дотаций в объеме доходов местного бюджета (за исключением субвенций и иных межбюджетных трансфертов) составляет 27,6% (2024 – 33,3%). При этом размер дотации снизился на 1,3%, при росте налоговых и неналоговых доходов, что является немаловажным фактором роста собственных доходов.</w:t>
      </w:r>
    </w:p>
    <w:p w:rsidR="00837CFD" w:rsidRPr="00837CFD" w:rsidRDefault="00837CFD" w:rsidP="00837CFD">
      <w:pPr>
        <w:tabs>
          <w:tab w:val="left" w:pos="17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Данные об исполнении расходов бюджета по разделам, подразделам представлены в таблице 6:</w:t>
      </w:r>
    </w:p>
    <w:p w:rsidR="00837CFD" w:rsidRPr="00837CFD" w:rsidRDefault="00837CFD" w:rsidP="00837C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37CFD" w:rsidRPr="00837CFD" w:rsidRDefault="00837CFD" w:rsidP="00837CFD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№ 6</w:t>
      </w:r>
    </w:p>
    <w:tbl>
      <w:tblPr>
        <w:tblStyle w:val="a3"/>
        <w:tblW w:w="9937" w:type="dxa"/>
        <w:jc w:val="center"/>
        <w:tblLayout w:type="fixed"/>
        <w:tblLook w:val="04A0"/>
      </w:tblPr>
      <w:tblGrid>
        <w:gridCol w:w="3060"/>
        <w:gridCol w:w="709"/>
        <w:gridCol w:w="1276"/>
        <w:gridCol w:w="1134"/>
        <w:gridCol w:w="1134"/>
        <w:gridCol w:w="850"/>
        <w:gridCol w:w="993"/>
        <w:gridCol w:w="781"/>
      </w:tblGrid>
      <w:tr w:rsidR="00837CFD" w:rsidRPr="00837CFD" w:rsidTr="00837CFD">
        <w:trPr>
          <w:trHeight w:val="792"/>
          <w:jc w:val="center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Наименование раздела, подраздела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Исполнено,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за 2024 год,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Бюджетные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назначения на 2025 год, (тыс. рублей)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Исполнено,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за 2025 год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Отноше</w:t>
            </w:r>
            <w:proofErr w:type="spellEnd"/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proofErr w:type="spellEnd"/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лей по исполнению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2025/2024г</w:t>
            </w:r>
          </w:p>
        </w:tc>
      </w:tr>
      <w:tr w:rsidR="00837CFD" w:rsidRPr="00837CFD" w:rsidTr="00837CFD">
        <w:trPr>
          <w:trHeight w:val="1549"/>
          <w:jc w:val="center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%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(гр.5 / гр.4)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тыс. рублей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+/- тыс</w:t>
            </w:r>
            <w:proofErr w:type="gram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(гр.5 – гр.3)</w:t>
            </w:r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%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(гр.5 / гр.3)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8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198 889,4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highlight w:val="yellow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219 237,9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197 731,8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83" w:right="-142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-21 506,1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99,4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10 825,0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3 455,4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-33,9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31,9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</w:rPr>
              <w:t xml:space="preserve">Функционирование законодательных (представительных) органов муниципального образования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5 054,2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5 430,0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5 138,8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5 430,0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101,7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sz w:val="21"/>
                <w:szCs w:val="21"/>
              </w:rPr>
              <w:t>Функционирование,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68 175,4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66 905,0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59 762,5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-7 142,5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87,7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Обеспечение деятельности финансовых, налоговых и таможенных  органов и органов (финансово-бюджетного) надзора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15 331,9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16 425,3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16 188,7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-236,6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105,6</w:t>
            </w:r>
          </w:p>
        </w:tc>
      </w:tr>
      <w:tr w:rsidR="00837CFD" w:rsidRPr="00837CFD" w:rsidTr="00837CFD">
        <w:trPr>
          <w:trHeight w:val="202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-402,3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</w:rPr>
              <w:t>Другие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99 364,2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126 584,1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113 186,4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83" w:right="-142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-13 397,7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113,9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bCs/>
              </w:rPr>
            </w:pPr>
            <w:r w:rsidRPr="00837CFD">
              <w:rPr>
                <w:rFonts w:ascii="Times New Roman" w:hAnsi="Times New Roman" w:cs="Times New Roman"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1 102,6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418,6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285,9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68,3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-132,7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25,9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68,3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-132,7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25,9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bCs/>
              </w:rPr>
            </w:pPr>
            <w:r w:rsidRPr="00837CFD">
              <w:rPr>
                <w:rFonts w:ascii="Times New Roman" w:hAnsi="Times New Roman" w:cs="Times New Roman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588,3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110,0</w:t>
            </w:r>
          </w:p>
        </w:tc>
      </w:tr>
      <w:tr w:rsidR="00837CFD" w:rsidRPr="00837CFD" w:rsidTr="00837CFD">
        <w:trPr>
          <w:trHeight w:val="32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588,3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110,0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116 449,0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136 241,8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133 164,4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-3 077,4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114,4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971,5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127,8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30 332,0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29 894,4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29 877,3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-17,1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98,5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82 075,7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101 639,8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98 579,6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-3 060,2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120,1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3 281,0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113,9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161 126,3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270 832,3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248 148,7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83" w:right="-142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-22 683,6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154,0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14 793,4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20 957,9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17 519,5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-3 438,4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118,4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47 490,0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15 100,5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14 965,1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-135,5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31,5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91 793,7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133 553,5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115 875,2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83" w:right="-142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-17 678,3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126,2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Другие вопросы в области 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7 049,2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101 220,3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99 788,9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-1 431,4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proofErr w:type="spellStart"/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↑в</w:t>
            </w:r>
            <w:proofErr w:type="spellEnd"/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14,2 раза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878,8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-10,2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94,0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878,8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-10,2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94,0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954 977,6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83" w:right="-137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1 087 702,9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73" w:right="-135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1 086 848,2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-854,7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113,8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279 891,0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315 423,4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315 412,3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-11,1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112,7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564 279,1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659 672,0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659 273,2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-398,8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116,8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75 504,4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89 673,0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89 651,0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-21,9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118,7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proofErr w:type="spellStart"/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↑в</w:t>
            </w:r>
            <w:proofErr w:type="spellEnd"/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12,1 раза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24 731,2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6 526,8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6 526,8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26,4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10 561,2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16 276,8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15 854,0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-422,8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150,1</w:t>
            </w:r>
          </w:p>
        </w:tc>
      </w:tr>
      <w:tr w:rsidR="00837CFD" w:rsidRPr="00837CFD" w:rsidTr="00837CFD">
        <w:trPr>
          <w:trHeight w:val="361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97 592,8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130 002,0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129 312,4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-689,6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132,5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93 887,2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126 036,6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125 557,7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-478,8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133,7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3 965,4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-210,7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101,3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102 705,4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62 842,5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61 513,2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-1 329,3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59,9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13 440,5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13 378,6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13 202,1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-176,4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98,2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2 343,8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2 893,1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-35,9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123,4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80 728,6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39 692,7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38 594,5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-1 098,1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47,8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6 192,5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6 842,2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6 823,5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-18,7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110,2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Физическая культура и спорт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125 540,3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166 293,1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159 752,8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-6 540,3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41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127,3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17 222,3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16 589,5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16 457,5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-132,0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95,6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26 331,8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91 566,4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88 883,7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-2 682,7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proofErr w:type="spellStart"/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↑в</w:t>
            </w:r>
            <w:proofErr w:type="spellEnd"/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3,4 раза</w:t>
            </w:r>
          </w:p>
        </w:tc>
      </w:tr>
      <w:tr w:rsidR="00837CFD" w:rsidRPr="00837CFD" w:rsidTr="00837CFD">
        <w:trPr>
          <w:trHeight w:val="383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40 105,5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54 363,2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54 294,0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69,2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135,4</w:t>
            </w:r>
          </w:p>
        </w:tc>
      </w:tr>
      <w:tr w:rsidR="00837CFD" w:rsidRPr="00837CFD" w:rsidTr="00837CFD">
        <w:trPr>
          <w:trHeight w:val="383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41 880,7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-3 656,4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0,3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97,6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37CFD">
              <w:rPr>
                <w:rFonts w:ascii="Times New Roman" w:hAnsi="Times New Roman" w:cs="Times New Roman"/>
                <w:bCs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sz w:val="20"/>
                <w:szCs w:val="20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97,6</w:t>
            </w:r>
          </w:p>
        </w:tc>
      </w:tr>
      <w:tr w:rsidR="00837CFD" w:rsidRPr="00837CFD" w:rsidTr="00837CFD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1 760 050,7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2 075 241,1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2 018 417,7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-56 823,4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114,7</w:t>
            </w:r>
          </w:p>
        </w:tc>
      </w:tr>
    </w:tbl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i/>
          <w:sz w:val="28"/>
          <w:szCs w:val="28"/>
        </w:rPr>
        <w:t>Сведения о бюджете, суммах расходов и освоения средств, в разрезе главных распорядителей расходов бюджета представлены в нижеприведенной таблице 7</w:t>
      </w:r>
    </w:p>
    <w:p w:rsidR="00837CFD" w:rsidRPr="00837CFD" w:rsidRDefault="00837CFD" w:rsidP="00837CFD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37CFD">
        <w:rPr>
          <w:rFonts w:ascii="Times New Roman" w:hAnsi="Times New Roman" w:cs="Times New Roman"/>
          <w:i/>
        </w:rPr>
        <w:t xml:space="preserve">таблица № 7 </w:t>
      </w:r>
      <w:proofErr w:type="gramStart"/>
      <w:r w:rsidRPr="00837CFD">
        <w:rPr>
          <w:rFonts w:ascii="Times New Roman" w:hAnsi="Times New Roman" w:cs="Times New Roman"/>
          <w:i/>
        </w:rPr>
        <w:t xml:space="preserve">( </w:t>
      </w:r>
      <w:proofErr w:type="gramEnd"/>
      <w:r w:rsidRPr="00837CFD">
        <w:rPr>
          <w:rFonts w:ascii="Times New Roman" w:hAnsi="Times New Roman" w:cs="Times New Roman"/>
          <w:i/>
        </w:rPr>
        <w:t>тыс. рублей)</w:t>
      </w:r>
    </w:p>
    <w:p w:rsidR="00837CFD" w:rsidRPr="00837CFD" w:rsidRDefault="00837CFD" w:rsidP="00837CFD">
      <w:pPr>
        <w:spacing w:after="0" w:line="240" w:lineRule="auto"/>
        <w:jc w:val="right"/>
        <w:rPr>
          <w:rFonts w:ascii="Times New Roman" w:hAnsi="Times New Roman" w:cs="Times New Roman"/>
          <w:i/>
          <w:sz w:val="12"/>
          <w:szCs w:val="12"/>
          <w:highlight w:val="yellow"/>
        </w:rPr>
      </w:pP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1560"/>
        <w:gridCol w:w="1843"/>
        <w:gridCol w:w="1276"/>
        <w:gridCol w:w="1984"/>
        <w:gridCol w:w="1843"/>
        <w:gridCol w:w="1134"/>
      </w:tblGrid>
      <w:tr w:rsidR="00837CFD" w:rsidRPr="00837CFD" w:rsidTr="00837CF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Администрация муниципального образования «Ярцевский муниципальный округ»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Ярцевский муниципальный окружной Совет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Финансовое управление Администрации муниципального образования «Ярцевский муниципальный округ»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37CFD">
              <w:rPr>
                <w:rFonts w:ascii="Times New Roman" w:hAnsi="Times New Roman" w:cs="Times New Roman"/>
              </w:rPr>
              <w:t>Управление по образованию Администрации муниципального образования «Ярцевский муниципальный округ»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КРК Ярцевского муниципального округа</w:t>
            </w:r>
          </w:p>
        </w:tc>
      </w:tr>
      <w:tr w:rsidR="00837CFD" w:rsidRPr="00837CFD" w:rsidTr="00837CF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Бюджетные назначения 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990 146,7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5 430,0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13 333,4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1 063 033,3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3 297,6</w:t>
            </w:r>
          </w:p>
        </w:tc>
      </w:tr>
      <w:tr w:rsidR="00837CFD" w:rsidRPr="00837CFD" w:rsidTr="00837CF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Исполнено</w:t>
            </w:r>
          </w:p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тыс. рублей(%)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935 645,0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(94,5%)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5 138,8 (94,6%)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13 149,6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(98,6%)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1 061 239,4 (99,8%)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3 244,9 (98,4%)</w:t>
            </w:r>
          </w:p>
        </w:tc>
      </w:tr>
      <w:tr w:rsidR="00837CFD" w:rsidRPr="00837CFD" w:rsidTr="00837CF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Неисполненные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54 501,7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291,2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183,8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1 793,9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52,7</w:t>
            </w:r>
          </w:p>
        </w:tc>
      </w:tr>
    </w:tbl>
    <w:p w:rsidR="00837CFD" w:rsidRPr="00837CFD" w:rsidRDefault="00837CFD" w:rsidP="00596E1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837CFD" w:rsidRPr="00837CFD" w:rsidRDefault="00837CFD" w:rsidP="00596E1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Решением о бюджете с учетом изменений, утвержден дефицит бюджета муниципального округа на 2025 год в сумме 20 118,3 тыс. рублей.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соответствии с отчетом об исполнении бюджета (ф. 0503117), бюджет исполнен с профицитом в объеме 25 341,0 тыс. рублей.</w:t>
      </w:r>
    </w:p>
    <w:p w:rsidR="00837CFD" w:rsidRPr="00837CFD" w:rsidRDefault="00837CFD" w:rsidP="00837CF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разрезе источников, финансирование дефицита бюджета в соответствии с отчетом, исполнение составило:</w:t>
      </w:r>
    </w:p>
    <w:p w:rsidR="00837CFD" w:rsidRPr="00837CFD" w:rsidRDefault="00837CFD" w:rsidP="00837CF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8</w:t>
      </w:r>
    </w:p>
    <w:tbl>
      <w:tblPr>
        <w:tblStyle w:val="a3"/>
        <w:tblW w:w="0" w:type="auto"/>
        <w:tblLook w:val="04A0"/>
      </w:tblPr>
      <w:tblGrid>
        <w:gridCol w:w="6062"/>
        <w:gridCol w:w="1843"/>
        <w:gridCol w:w="1559"/>
      </w:tblGrid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Утверждено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на 2025 год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Исполнено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за 2025 год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 xml:space="preserve"> тыс. рублей</w:t>
            </w: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Источники финансирования дефицита бюджета,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20 118,3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-25 341,0</w:t>
            </w: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Источники внутреннего финансирования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-3 166,5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-3 166,5</w:t>
            </w: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из них:</w:t>
            </w:r>
          </w:p>
          <w:p w:rsidR="00837CFD" w:rsidRPr="00837CFD" w:rsidRDefault="00837CFD" w:rsidP="00837CFD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Погашение бюджетами муниципальных округов кредитов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-3 166,5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-3 166,5</w:t>
            </w: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37CFD">
              <w:rPr>
                <w:rFonts w:ascii="Times New Roman" w:hAnsi="Times New Roman" w:cs="Times New Roman"/>
                <w:u w:val="single"/>
              </w:rPr>
              <w:t xml:space="preserve">Изменение остатков средств 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 xml:space="preserve"> 23 284,8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37CFD">
              <w:rPr>
                <w:rFonts w:ascii="Times New Roman" w:hAnsi="Times New Roman" w:cs="Times New Roman"/>
                <w:i/>
              </w:rPr>
              <w:t>-22 174,5</w:t>
            </w: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-2 061 548,9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-2 056 096,9</w:t>
            </w:r>
          </w:p>
        </w:tc>
      </w:tr>
      <w:tr w:rsidR="00837CFD" w:rsidRPr="00837CFD" w:rsidTr="00837C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Уменьшение 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2 084 833,7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</w:rPr>
            </w:pPr>
            <w:r w:rsidRPr="00837CFD">
              <w:rPr>
                <w:rFonts w:ascii="Times New Roman" w:hAnsi="Times New Roman" w:cs="Times New Roman"/>
              </w:rPr>
              <w:t>2 033 922,4</w:t>
            </w:r>
          </w:p>
        </w:tc>
      </w:tr>
    </w:tbl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Исполнение целевых муниципальных программ муниципального образования «Ярцевский муниципальный округ» Смоленской области </w:t>
      </w:r>
    </w:p>
    <w:p w:rsidR="00837CFD" w:rsidRPr="00837CFD" w:rsidRDefault="00837CFD" w:rsidP="00837CFD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В отчетном финансовом году 98,1% расходов бюджета осуществлялись программно-целевым методом. В муниципальном образовании «Ярцевский муниципальный округ» Смоленской области к реализации было утверждено 19 муниципальных программ. </w:t>
      </w:r>
    </w:p>
    <w:p w:rsidR="00837CFD" w:rsidRPr="00837CFD" w:rsidRDefault="00837CFD" w:rsidP="00837CFD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Плановые назначения на реализацию муниципальных программ на 2025 год утверждены решением «О бюджете муниципального образования «Ярцевский муниципальный округ» Смоленской области на 2024 год и плановый период 2025 и 2026 годов» в сумме 2 032 967,8 тыс. рублей. Объем финансирования муниципальных программ составил 1 979 939,9 тыс. рублей или 97,4% от плановых назначений. В полном объеме (100,0%) выполнен план по шести программам.</w:t>
      </w:r>
    </w:p>
    <w:p w:rsidR="00837CFD" w:rsidRPr="00837CFD" w:rsidRDefault="00837CFD" w:rsidP="00837CFD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По оставшимся тринадцати муниципальным программам диапазон исполнения складывается от 90,1% до 99,9%. </w:t>
      </w:r>
    </w:p>
    <w:p w:rsidR="00837CFD" w:rsidRPr="00837CFD" w:rsidRDefault="00837CFD" w:rsidP="00837CFD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Данные об исполнении расходов по целевым муниципальным программам приведены в таблице:                                                        </w:t>
      </w:r>
      <w:r w:rsidRPr="00837CFD">
        <w:rPr>
          <w:rFonts w:ascii="Times New Roman" w:hAnsi="Times New Roman" w:cs="Times New Roman"/>
          <w:i/>
          <w:sz w:val="24"/>
          <w:szCs w:val="24"/>
        </w:rPr>
        <w:t>таблица №9</w:t>
      </w:r>
    </w:p>
    <w:tbl>
      <w:tblPr>
        <w:tblStyle w:val="a3"/>
        <w:tblW w:w="9464" w:type="dxa"/>
        <w:tblLayout w:type="fixed"/>
        <w:tblLook w:val="04A0"/>
      </w:tblPr>
      <w:tblGrid>
        <w:gridCol w:w="392"/>
        <w:gridCol w:w="5528"/>
        <w:gridCol w:w="1276"/>
        <w:gridCol w:w="1417"/>
        <w:gridCol w:w="851"/>
      </w:tblGrid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37CFD" w:rsidRPr="00837CFD" w:rsidRDefault="00837CFD" w:rsidP="00837CF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 xml:space="preserve">на 2025 год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 xml:space="preserve"> (тыс. 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Исполнено за 2025 год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sz w:val="18"/>
                <w:szCs w:val="18"/>
              </w:rPr>
              <w:t>в %</w:t>
            </w:r>
          </w:p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(гр.4/гр.3*100)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образования и молодежной политики в Ярцевском муниципальном округе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1 044 226,1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1 043 310,2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837CFD" w:rsidRPr="00837CFD" w:rsidTr="00837CFD">
        <w:trPr>
          <w:trHeight w:val="4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Обеспечение жильем молодых семей в Ярцевском муниципальном округе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культуры в Ярцевском муниципальном округе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171 196,3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170 713,4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Спорт в Ярцевском муниципальном округе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165 917,5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159 377,2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 в муниципальном образовании "Ярцевский муниципальный округ"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дорожно-транспортного комплекса в Ярцевском муниципальном округе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119 520,1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116 442,8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97,4</w:t>
            </w:r>
          </w:p>
        </w:tc>
      </w:tr>
      <w:tr w:rsidR="00837CFD" w:rsidRPr="00837CFD" w:rsidTr="00837CFD">
        <w:trPr>
          <w:trHeight w:val="30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обеспечения качественными услугами жилищно - коммунального хозяйства и благоустройство в Ярцевском муниципальном округе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110 658,9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99 730,7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90,1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благоприятного предпринимательского климата в Ярцевском муниципальном округе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деятельности Администрации муниципального образования «Ярцевский муниципальный округ»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189 891,1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170 593,5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89,8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эффективного и ответственного управления муниципальными финансами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126 827,6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117 513,0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</w:tr>
      <w:tr w:rsidR="00837CFD" w:rsidRPr="00837CFD" w:rsidTr="00837CFD">
        <w:trPr>
          <w:trHeight w:val="23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</w:t>
            </w:r>
          </w:p>
        </w:tc>
      </w:tr>
      <w:tr w:rsidR="00837CFD" w:rsidRPr="00837CFD" w:rsidTr="00837CFD">
        <w:trPr>
          <w:trHeight w:val="39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 в Ярцевском муниципальном округе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13 645,6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13 468,1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98,7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Развитие малоэтажного жилищного строительства на территории Ярцевского муниципальном округе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Демографическое развитие Ярцевского муниципальном округе Смоленской области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39 068,9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97,7</w:t>
            </w:r>
          </w:p>
        </w:tc>
      </w:tr>
      <w:tr w:rsidR="00837CFD" w:rsidRPr="00837CFD" w:rsidTr="00837CFD">
        <w:trPr>
          <w:trHeight w:val="16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Доступная среда в Ярцевском муниципальном округе Смоленской области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</w:tr>
      <w:tr w:rsidR="00837CFD" w:rsidRPr="00837CFD" w:rsidTr="00837CFD">
        <w:trPr>
          <w:trHeight w:val="44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 xml:space="preserve">Гражданско - патриотическое воспитание детей, подростков и молодежи в Ярцевском муниципальном округе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37CFD" w:rsidRPr="00837CFD" w:rsidTr="00837CFD">
        <w:trPr>
          <w:trHeight w:val="67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профилактика преступлений и правонарушений на территории Ярцевского муниципального округа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95,1</w:t>
            </w:r>
          </w:p>
        </w:tc>
      </w:tr>
      <w:tr w:rsidR="00837CFD" w:rsidRPr="00837CFD" w:rsidTr="00837CFD">
        <w:trPr>
          <w:trHeight w:val="70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Профилактика безнадзорности и правонарушений несовершеннолетних на территории Ярцевского муниципальном округе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37CFD" w:rsidRPr="00837CFD" w:rsidTr="00837CFD">
        <w:trPr>
          <w:trHeight w:val="37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ind w:left="-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Поддержка инициативных проектов в Ярцевском муниципальном округе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11 522,4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37CFD" w:rsidRPr="00837CFD" w:rsidTr="00837CF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2 032 967,8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1 979 939,9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97,4</w:t>
            </w:r>
          </w:p>
        </w:tc>
      </w:tr>
      <w:bookmarkEnd w:id="0"/>
    </w:tbl>
    <w:p w:rsidR="00837CFD" w:rsidRPr="00837CFD" w:rsidRDefault="00837CFD" w:rsidP="00837CFD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Исполнение муниципальных программ в разрезе по подразделам</w:t>
      </w:r>
    </w:p>
    <w:p w:rsidR="00837CFD" w:rsidRPr="00837CFD" w:rsidRDefault="00837CFD" w:rsidP="00837CFD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837CFD" w:rsidRPr="00837CFD" w:rsidRDefault="00837CFD" w:rsidP="00837CFD">
      <w:pPr>
        <w:pStyle w:val="a4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№10</w:t>
      </w:r>
    </w:p>
    <w:tbl>
      <w:tblPr>
        <w:tblW w:w="9368" w:type="dxa"/>
        <w:tblInd w:w="96" w:type="dxa"/>
        <w:tblLayout w:type="fixed"/>
        <w:tblLook w:val="04A0"/>
      </w:tblPr>
      <w:tblGrid>
        <w:gridCol w:w="438"/>
        <w:gridCol w:w="4252"/>
        <w:gridCol w:w="1276"/>
        <w:gridCol w:w="1701"/>
        <w:gridCol w:w="1701"/>
      </w:tblGrid>
      <w:tr w:rsidR="00837CFD" w:rsidRPr="00837CFD" w:rsidTr="00837CFD">
        <w:trPr>
          <w:trHeight w:val="43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№</w:t>
            </w:r>
          </w:p>
          <w:p w:rsidR="00837CFD" w:rsidRPr="00837CFD" w:rsidRDefault="00837CFD" w:rsidP="00837CFD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утверждено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"Совершенствование деятельности Администрации муниципального образования "Ярцевский муниципальный округ" Смоленской области»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65 307,5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58 444,3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112 937,1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102 144,8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971,5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4 833,7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3 754,7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189 891,1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170 593,5</w:t>
            </w:r>
          </w:p>
        </w:tc>
      </w:tr>
      <w:tr w:rsidR="00837CFD" w:rsidRPr="00837CFD" w:rsidTr="00837CFD">
        <w:trPr>
          <w:trHeight w:val="40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12 943,8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13 149,6</w:t>
            </w:r>
          </w:p>
        </w:tc>
      </w:tr>
      <w:tr w:rsidR="00837CFD" w:rsidRPr="00837CFD" w:rsidTr="00837CFD">
        <w:trPr>
          <w:trHeight w:val="34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качественными услугами жилищно-коммунального хозяйства и благоустройство в муниципальном образовании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588,3</w:t>
            </w:r>
          </w:p>
        </w:tc>
      </w:tr>
      <w:tr w:rsidR="00837CFD" w:rsidRPr="00837CFD" w:rsidTr="00837CFD">
        <w:trPr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16 702,1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13 904,4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74 908,4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67 564,2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110 658,9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99 730,7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"Обеспечение общественного порядка и профилактика преступлений и правонарушений на территории муниципального образования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3 053,8</w:t>
            </w:r>
          </w:p>
        </w:tc>
      </w:tr>
      <w:tr w:rsidR="00837CFD" w:rsidRPr="00837CFD" w:rsidTr="00837CFD">
        <w:trPr>
          <w:trHeight w:val="3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</w:tr>
      <w:tr w:rsidR="00837CFD" w:rsidRPr="00837CFD" w:rsidTr="00837CFD">
        <w:trPr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837CFD" w:rsidRPr="00837CFD" w:rsidTr="00837CFD">
        <w:trPr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837CFD" w:rsidRPr="00837CFD" w:rsidTr="00837CFD">
        <w:trPr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3 149,8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</w:t>
            </w:r>
            <w:proofErr w:type="spellStart"/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Эноргосбережение</w:t>
            </w:r>
            <w:proofErr w:type="spellEnd"/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повышение энергетической эффективности в муниципальном образовании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13 626,6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12 607,1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13 936,6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12 917,1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"Гражданско-патриотическое воспитание детей, подростков и молодежи в муниципальном образовании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1 728,9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1 728,9</w:t>
            </w:r>
          </w:p>
        </w:tc>
      </w:tr>
      <w:tr w:rsidR="00837CFD" w:rsidRPr="00837CFD" w:rsidTr="00837CFD">
        <w:trPr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837CFD" w:rsidRPr="00837CFD" w:rsidTr="00837CFD">
        <w:trPr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348,0</w:t>
            </w:r>
          </w:p>
        </w:tc>
      </w:tr>
      <w:tr w:rsidR="00837CFD" w:rsidRPr="00837CFD" w:rsidTr="00837CFD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837CFD" w:rsidRPr="00837CFD" w:rsidTr="00837CFD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2 123,9</w:t>
            </w:r>
          </w:p>
        </w:tc>
      </w:tr>
      <w:tr w:rsidR="00837CFD" w:rsidRPr="00837CFD" w:rsidTr="00837CFD">
        <w:trPr>
          <w:trHeight w:val="36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 Развитие дорожно-транспортного комплекса в муниципальном образовании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29 877,3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89 625,7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86 565,4</w:t>
            </w:r>
          </w:p>
        </w:tc>
      </w:tr>
      <w:tr w:rsidR="00837CFD" w:rsidRPr="00837CFD" w:rsidTr="00837CFD">
        <w:trPr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119 520,1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116 442,8</w:t>
            </w:r>
          </w:p>
        </w:tc>
      </w:tr>
      <w:tr w:rsidR="00837CFD" w:rsidRPr="00837CFD" w:rsidTr="00837CFD">
        <w:trPr>
          <w:trHeight w:val="8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"Создание благоприятного предпринимательского климата в муниципальном образовании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</w:t>
            </w:r>
          </w:p>
        </w:tc>
      </w:tr>
      <w:tr w:rsidR="00837CFD" w:rsidRPr="00837CFD" w:rsidTr="00837CFD">
        <w:trPr>
          <w:trHeight w:val="79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малоэтажного жилищного строительства на территории муниципального образования "Ярцевский муниципальный округ"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845,0</w:t>
            </w:r>
          </w:p>
        </w:tc>
      </w:tr>
      <w:tr w:rsidR="00837CFD" w:rsidRPr="00837CFD" w:rsidTr="00837CFD">
        <w:trPr>
          <w:trHeight w:val="57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"Поддержка инициативных проектов в Ярцевском муниципальном округе Смоленской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11 522,4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"Профилактика безнадзорности и правонарушений несовершеннолетних на территории муниципального образования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401,1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1 520,3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2 462,2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31 872,4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22 557,8</w:t>
            </w:r>
          </w:p>
        </w:tc>
      </w:tr>
      <w:tr w:rsidR="00837CFD" w:rsidRPr="00837CFD" w:rsidTr="00837CFD">
        <w:trPr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94 955,2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126 827,6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117 513,0</w:t>
            </w:r>
          </w:p>
        </w:tc>
      </w:tr>
      <w:tr w:rsidR="00837CFD" w:rsidRPr="00837CFD" w:rsidTr="00837CFD">
        <w:trPr>
          <w:trHeight w:val="36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образования и молодежной политики в муниципальном образовании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314 986,4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314 975,3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657 190,7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656 949,3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43 630,9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43 627,0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6 131,8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14 748,5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14 325,7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1 979,5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4 784,5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1 044 226,1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1 043 310,2</w:t>
            </w:r>
          </w:p>
        </w:tc>
      </w:tr>
      <w:tr w:rsidR="00837CFD" w:rsidRPr="00837CFD" w:rsidTr="00837CFD">
        <w:trPr>
          <w:trHeight w:val="28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45 713,0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45 695,0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125 468,8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125 003,9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171 196,3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170 713,5</w:t>
            </w:r>
          </w:p>
        </w:tc>
      </w:tr>
      <w:tr w:rsidR="00837CFD" w:rsidRPr="00837CFD" w:rsidTr="00837CFD">
        <w:trPr>
          <w:trHeight w:val="27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"Демографическое развитие в муниципальном образовании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38 215,3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37 301,5</w:t>
            </w:r>
          </w:p>
        </w:tc>
      </w:tr>
      <w:tr w:rsidR="00837CFD" w:rsidRPr="00837CFD" w:rsidTr="00837CFD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850,6</w:t>
            </w:r>
          </w:p>
        </w:tc>
      </w:tr>
      <w:tr w:rsidR="00837CFD" w:rsidRPr="00837CFD" w:rsidTr="00837CFD">
        <w:trPr>
          <w:trHeight w:val="2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38 155,2</w:t>
            </w:r>
          </w:p>
        </w:tc>
      </w:tr>
      <w:tr w:rsidR="00837CFD" w:rsidRPr="00837CFD" w:rsidTr="00837CFD">
        <w:trPr>
          <w:trHeight w:val="28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"Доступная среда в муниципальном образовании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1 076,8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1 209,8</w:t>
            </w:r>
          </w:p>
        </w:tc>
      </w:tr>
      <w:tr w:rsidR="00837CFD" w:rsidRPr="00837CFD" w:rsidTr="00837CFD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"Социальная политика в муниципальном образовании "Ярцевский муниципальный округ" Смоленской области»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13 378,6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13 202,1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13 468,2</w:t>
            </w:r>
          </w:p>
        </w:tc>
      </w:tr>
      <w:tr w:rsidR="00837CFD" w:rsidRPr="00837CFD" w:rsidTr="00837CFD">
        <w:trPr>
          <w:trHeight w:val="73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"Обеспечение жильем молодых семей в муниципальном образовании "Ярцевский муниципальный округ" Смоленской области</w:t>
            </w:r>
            <w:proofErr w:type="gramStart"/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837CFD" w:rsidRPr="00837CFD" w:rsidTr="00837CFD">
        <w:trPr>
          <w:trHeight w:val="248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"Спорт в муниципальном образовании "Ярцевский муниципальный округ"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16 589,5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16 457,5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88 883,7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53 987,6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53 918,4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165 917,5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159 377,2</w:t>
            </w:r>
          </w:p>
        </w:tc>
      </w:tr>
      <w:tr w:rsidR="00837CFD" w:rsidRPr="00837CFD" w:rsidTr="00837CFD">
        <w:trPr>
          <w:trHeight w:val="510"/>
        </w:trPr>
        <w:tc>
          <w:tcPr>
            <w:tcW w:w="59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МП: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2 032 967,8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1 979 939,9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3 489,3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3 455,4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5 430,0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5 138,8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1 487,7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1 208,5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3 297,6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3 244,9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402,3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2 800,4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2 795,5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5 307,0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2 869,0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241,5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241,5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418,6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285,9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12 014,2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12 014,2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697,4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697,4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921,5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921,5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139,1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139,1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1 222,6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1 222,6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437,0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437,0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1 940,6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1 783,1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296,0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296,0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360,8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360,8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647,5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647,5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112,9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111,6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37CFD" w:rsidRPr="00837CFD" w:rsidTr="00837CFD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369,6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369,6</w:t>
            </w:r>
          </w:p>
        </w:tc>
      </w:tr>
      <w:tr w:rsidR="00837CFD" w:rsidRPr="00837CFD" w:rsidTr="00837CFD">
        <w:trPr>
          <w:trHeight w:val="3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Итого по НР: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37CFD">
              <w:rPr>
                <w:rFonts w:ascii="Times New Roman" w:hAnsi="Times New Roman" w:cs="Times New Roman"/>
                <w:i/>
                <w:color w:val="000000"/>
              </w:rPr>
              <w:t>42 273,3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37CFD">
              <w:rPr>
                <w:rFonts w:ascii="Times New Roman" w:hAnsi="Times New Roman" w:cs="Times New Roman"/>
                <w:i/>
                <w:color w:val="000000"/>
              </w:rPr>
              <w:t>38 477,8</w:t>
            </w:r>
          </w:p>
        </w:tc>
      </w:tr>
      <w:tr w:rsidR="00837CFD" w:rsidRPr="00837CFD" w:rsidTr="00837CFD">
        <w:trPr>
          <w:trHeight w:val="300"/>
        </w:trPr>
        <w:tc>
          <w:tcPr>
            <w:tcW w:w="5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2 075 241,1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FD" w:rsidRPr="00837CFD" w:rsidRDefault="00837CFD" w:rsidP="00837C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2 018 417,7</w:t>
            </w:r>
          </w:p>
        </w:tc>
      </w:tr>
    </w:tbl>
    <w:p w:rsidR="00837CFD" w:rsidRPr="00837CFD" w:rsidRDefault="00837CFD" w:rsidP="00837CFD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Муниципальный долг</w:t>
      </w:r>
    </w:p>
    <w:p w:rsidR="00837CFD" w:rsidRPr="00837CFD" w:rsidRDefault="00837CFD" w:rsidP="00837CFD">
      <w:pPr>
        <w:spacing w:after="0"/>
        <w:jc w:val="center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Согласно решению Ярцевского окружного Совета депутатов от 25.12.2024 «О бюджете муниципального образования «Ярцевский муниципальный округ» Смоленской области на 2025 год и плановый период 2026 и 2027 годов» (в последней редакции) было определено, что верхний </w:t>
      </w:r>
      <w:r w:rsidRPr="00837CFD">
        <w:rPr>
          <w:rFonts w:ascii="Times New Roman" w:hAnsi="Times New Roman" w:cs="Times New Roman"/>
          <w:sz w:val="28"/>
          <w:szCs w:val="28"/>
        </w:rPr>
        <w:lastRenderedPageBreak/>
        <w:t>предел муниципального долга на 1 января 2026 года утвержден в сумме                    194 426,6 тыс. рублей.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Объем расходов местного бюджета по обслуживанию муниципального долга утвержден на 2025 год (в последней редакции бюджета муниципального образования) в сумме  192,8 тыс. рублей (уплата процентов за пользование кредитом).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Согласно данным (ф. 0503172) «Сведения о государственном (муниципальном) долге, представленных бюджетных кредитах» по состоянию на 01.01.2025 и на 01.01.2026 муниципальный долг соответственно составляет 197 593,1 тыс. рублей и 39 269,4 тыс. рублей - кредит из областного бюджета.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 xml:space="preserve">В отчетном периоде был погашен кредит из областного бюджета, полученный по договору №03-24-2022/09 от 30.06.2022 в сумме 158 323,7 тыс. рублей, а именно: погашено за счет источников финансирования бюджета 2% от суммы кредита – 3 166,5 тыс. рублей, списано в пользу муниципального образования «Ярцевский муниципальный округ» Смоленской области 155 157,2 тыс. рублей (98% от суммы кредита). </w:t>
      </w:r>
      <w:proofErr w:type="gramEnd"/>
    </w:p>
    <w:p w:rsidR="00837CFD" w:rsidRPr="00837CFD" w:rsidRDefault="00837CFD" w:rsidP="00837C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Состояние и динамика  дебиторской и кредиторской задолженности</w:t>
      </w:r>
    </w:p>
    <w:p w:rsidR="00837CFD" w:rsidRPr="00837CFD" w:rsidRDefault="00837CFD" w:rsidP="00837C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37CFD">
        <w:rPr>
          <w:rFonts w:ascii="Times New Roman" w:hAnsi="Times New Roman" w:cs="Times New Roman"/>
          <w:i/>
          <w:sz w:val="28"/>
          <w:szCs w:val="28"/>
          <w:u w:val="single"/>
        </w:rPr>
        <w:t xml:space="preserve">Дебиторская задолженность </w:t>
      </w:r>
    </w:p>
    <w:p w:rsidR="00837CFD" w:rsidRPr="00837CFD" w:rsidRDefault="00837CFD" w:rsidP="00837CF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>Согласно представленным сведениям (ф. 0503169), дебиторская задолженность в целом по муниципальному образованию по состоянию на 01.01.2026 составляет 3 204 951,0 тыс. рублей (в том числе: долгосрочная 1 918 303,9 тыс. рублей). Произошло увеличение дебиторской задолженности на конец отчетного периода на 735 201,2 тыс. рублей, в основном за счет</w:t>
      </w:r>
      <w:r w:rsidRPr="00837C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7CFD">
        <w:rPr>
          <w:rFonts w:ascii="Times New Roman" w:hAnsi="Times New Roman" w:cs="Times New Roman"/>
          <w:sz w:val="28"/>
          <w:szCs w:val="28"/>
        </w:rPr>
        <w:t>безвозмездных поступлений доходов будущего периода от других бюджетов. Основную долю в дебиторской задолженности на конец отчетного периода составляет задолженность по безвозмездным поступлениям от других бюджетов (запланированные поступления на 2026 и плановый период согласно уведомлениям о расчетах между бюджетами)  в сумме 3 066 285,7 тыс. рублей или 95,7% от суммы дебиторской задолженности в целом.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дебиторской задолженности представлен в таблице: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pStyle w:val="a4"/>
        <w:spacing w:after="0" w:line="240" w:lineRule="auto"/>
        <w:ind w:left="0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7CFD">
        <w:rPr>
          <w:rFonts w:ascii="Times New Roman" w:hAnsi="Times New Roman" w:cs="Times New Roman"/>
          <w:i/>
          <w:sz w:val="24"/>
          <w:szCs w:val="24"/>
        </w:rPr>
        <w:t>таблица №11</w:t>
      </w:r>
    </w:p>
    <w:tbl>
      <w:tblPr>
        <w:tblStyle w:val="a3"/>
        <w:tblW w:w="9615" w:type="dxa"/>
        <w:tblLayout w:type="fixed"/>
        <w:tblLook w:val="04A0"/>
      </w:tblPr>
      <w:tblGrid>
        <w:gridCol w:w="495"/>
        <w:gridCol w:w="4575"/>
        <w:gridCol w:w="1559"/>
        <w:gridCol w:w="1444"/>
        <w:gridCol w:w="1542"/>
      </w:tblGrid>
      <w:tr w:rsidR="00837CFD" w:rsidRPr="00837CFD" w:rsidTr="00837CFD">
        <w:tc>
          <w:tcPr>
            <w:tcW w:w="495" w:type="dxa"/>
            <w:vMerge w:val="restart"/>
          </w:tcPr>
          <w:p w:rsidR="00837CFD" w:rsidRPr="00837CFD" w:rsidRDefault="00837CFD" w:rsidP="00837C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7CFD" w:rsidRPr="00837CFD" w:rsidRDefault="00837CFD" w:rsidP="00837C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837CFD" w:rsidRPr="00837CFD" w:rsidRDefault="00837CFD" w:rsidP="00837C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vMerge w:val="restart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 xml:space="preserve">Сумма задолженности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 xml:space="preserve">гр.4-3,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837CFD" w:rsidRPr="00837CFD" w:rsidTr="00837CFD">
        <w:tc>
          <w:tcPr>
            <w:tcW w:w="495" w:type="dxa"/>
            <w:vMerge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vMerge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1542" w:type="dxa"/>
            <w:vMerge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5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75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Задолженность всего: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</w:rPr>
              <w:t>2 469 749,8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</w:rPr>
              <w:t>3 204 951,0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</w:rPr>
              <w:t>735 201,2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4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42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Задолженность по налоговым доходам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15 218,7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17 527,4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2 308,7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Задолженность по доходам от операционной аренды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11 069,3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8 859,7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-2 209,6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Задолженность по доходам от платежей при пользовании природными ресурсами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10 203,9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11 861,0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1 657,1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Задолженность по иным доходам от собственности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10 293,0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10 420,5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127,5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Задолженность по прочим суммам принудительного изъятия (штрафы)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27,6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21,7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-5,9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2 417 083,6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3 066 285,7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649 202,1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 xml:space="preserve">Расчеты по поступлениям текущего характера в бюджеты бюджетной системы Российской Федерации от бюджетных  учреждений 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5 794,6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34 052,1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28 257,5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55 877,0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55 877,0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Расчеты по авансам по коммунальным услугам (авансовый платеж за электроэнергию)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55,7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44,5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-11,2</w:t>
            </w:r>
          </w:p>
        </w:tc>
      </w:tr>
      <w:tr w:rsidR="00837CFD" w:rsidRPr="00837CFD" w:rsidTr="00837CFD">
        <w:tc>
          <w:tcPr>
            <w:tcW w:w="495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7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 xml:space="preserve">Расчеты с подотчетными лицами по оплате услуг связи </w:t>
            </w:r>
          </w:p>
        </w:tc>
        <w:tc>
          <w:tcPr>
            <w:tcW w:w="1559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444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</w:rPr>
              <w:t>-2,0</w:t>
            </w:r>
          </w:p>
        </w:tc>
      </w:tr>
    </w:tbl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</w:p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37CFD">
        <w:rPr>
          <w:rFonts w:ascii="Times New Roman" w:hAnsi="Times New Roman" w:cs="Times New Roman"/>
          <w:i/>
          <w:sz w:val="28"/>
          <w:szCs w:val="28"/>
          <w:u w:val="single"/>
        </w:rPr>
        <w:t>Кредиторская задолженность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Кредиторская задолженность в целом по муниципальному образованию на конец отчетного периода составляет 3 144 430,8 тыс. рублей, что  на  710 827,0 тыс. рублей больше, чем  на начало 2025 года.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Отмечено значительное увеличение кредиторской задолженности (в сравнении с началом отчетного периода):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расчетам по заработной плате на 1 313,0 тыс. рублей;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расчетам по коммунальным услугам 1 575,8 тыс. рублей;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доходам будущих периодов от поступлений текущего характера от других бюджетов 1 291 556,1 тыс. рублей;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расчеты по доходам будущих периодов к признанию в очередные годы 55 877,0 тыс. рублей.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кредиторской  задолженности представлен ниже в таблице:</w:t>
      </w: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601" w:tblpY="222"/>
        <w:tblW w:w="9615" w:type="dxa"/>
        <w:tblLayout w:type="fixed"/>
        <w:tblLook w:val="04A0"/>
      </w:tblPr>
      <w:tblGrid>
        <w:gridCol w:w="495"/>
        <w:gridCol w:w="4291"/>
        <w:gridCol w:w="1701"/>
        <w:gridCol w:w="1586"/>
        <w:gridCol w:w="1542"/>
      </w:tblGrid>
      <w:tr w:rsidR="00837CFD" w:rsidRPr="00837CFD" w:rsidTr="00837CFD">
        <w:trPr>
          <w:trHeight w:val="63"/>
        </w:trPr>
        <w:tc>
          <w:tcPr>
            <w:tcW w:w="9615" w:type="dxa"/>
            <w:gridSpan w:val="5"/>
            <w:tcBorders>
              <w:top w:val="nil"/>
              <w:left w:val="nil"/>
              <w:right w:val="nil"/>
            </w:tcBorders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таблица 11</w:t>
            </w:r>
          </w:p>
        </w:tc>
      </w:tr>
      <w:tr w:rsidR="00837CFD" w:rsidRPr="00837CFD" w:rsidTr="00837CFD">
        <w:tc>
          <w:tcPr>
            <w:tcW w:w="495" w:type="dxa"/>
            <w:vMerge w:val="restart"/>
          </w:tcPr>
          <w:p w:rsidR="00837CFD" w:rsidRPr="00837CFD" w:rsidRDefault="00837CFD" w:rsidP="00837C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7CFD" w:rsidRPr="00837CFD" w:rsidRDefault="00837CFD" w:rsidP="00837C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vMerge w:val="restart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87" w:type="dxa"/>
            <w:gridSpan w:val="2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 xml:space="preserve">Сумма задолженности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542" w:type="dxa"/>
            <w:vMerge w:val="restart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 xml:space="preserve"> (+;-)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 xml:space="preserve">гр.4-3 </w:t>
            </w:r>
          </w:p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837CFD" w:rsidRPr="00837CFD" w:rsidTr="00837CFD">
        <w:tc>
          <w:tcPr>
            <w:tcW w:w="495" w:type="dxa"/>
            <w:vMerge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vMerge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586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1542" w:type="dxa"/>
            <w:vMerge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2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Задолженность всего:</w:t>
            </w:r>
          </w:p>
        </w:tc>
        <w:tc>
          <w:tcPr>
            <w:tcW w:w="1701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2 433 603,8</w:t>
            </w:r>
          </w:p>
        </w:tc>
        <w:tc>
          <w:tcPr>
            <w:tcW w:w="1586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3 144 430,8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710 827,0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2" w:type="dxa"/>
            <w:vAlign w:val="bottom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Расчеты с плательщиками налогов 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2 782,5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2 528,1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-254,4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плательщиками государственных пошлин, сборов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37CFD" w:rsidRPr="00837CFD" w:rsidTr="00837CFD">
        <w:trPr>
          <w:trHeight w:val="577"/>
        </w:trPr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прочим доходам от сумм принудительного изъятия</w:t>
            </w:r>
          </w:p>
        </w:tc>
        <w:tc>
          <w:tcPr>
            <w:tcW w:w="1701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586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542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невыясненным поступлениям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1,7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заработной плате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1 891,2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3 204,2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1 313,0</w:t>
            </w:r>
          </w:p>
        </w:tc>
      </w:tr>
      <w:tr w:rsidR="00837CFD" w:rsidRPr="00837CFD" w:rsidTr="00837CFD">
        <w:trPr>
          <w:trHeight w:val="251"/>
        </w:trPr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услугам связи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35,3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коммунальным услугам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264,5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1 840,3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1 575,8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арендной плате за пользование имуществом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работам, услугам по содержанию имущества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-8,6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прочим работам, услугам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-9,6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приобретению материальных запасов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258,9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332,5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73,6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7,7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налогу на доходы физических лиц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504,6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-49,8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прочим платежам в бюджет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24,7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-1,2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налогу на имущество организаций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4,6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единому страховому тарифу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1 200,9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1 987,7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786,8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удержаниям из выплат по оплате труда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-2,3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</w:t>
            </w:r>
            <w:proofErr w:type="gramEnd"/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 будущих периодов от налогов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628,9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774,1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145,2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будущих периодов от поступлений от других бюджетов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642 354,0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-642 354,0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будущих периодов от поступлений текущего характера от других бюджетов бюджетной системы РФ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1 774 729,6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3 066 285,7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1 291 556,1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будущих периодов к признанию в очередные годы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55 877,0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55 877,0</w:t>
            </w:r>
          </w:p>
        </w:tc>
      </w:tr>
      <w:tr w:rsidR="00837CFD" w:rsidRPr="00837CFD" w:rsidTr="00837CFD">
        <w:tc>
          <w:tcPr>
            <w:tcW w:w="495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91" w:type="dxa"/>
          </w:tcPr>
          <w:p w:rsidR="00837CFD" w:rsidRPr="00837CFD" w:rsidRDefault="00837CFD" w:rsidP="00837C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под предстоящие расходы на оплату труда</w:t>
            </w:r>
          </w:p>
        </w:tc>
        <w:tc>
          <w:tcPr>
            <w:tcW w:w="1701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7 963,0</w:t>
            </w:r>
          </w:p>
        </w:tc>
        <w:tc>
          <w:tcPr>
            <w:tcW w:w="1586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10 065,2</w:t>
            </w:r>
          </w:p>
        </w:tc>
        <w:tc>
          <w:tcPr>
            <w:tcW w:w="1542" w:type="dxa"/>
            <w:vAlign w:val="center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7C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2 102,2</w:t>
            </w:r>
          </w:p>
        </w:tc>
      </w:tr>
    </w:tbl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CFD" w:rsidRPr="00837CFD" w:rsidRDefault="00837CFD" w:rsidP="00837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Проведенный анализ показал, что показатели дебиторской и кредиторской задолженности,  отраженные в формах  0503120, 0503160,  0503169, 0503173 годового отчета за 2025 год между собой взаимоувязаны и соответствуют сведениям отчетов главных администраторов бюджетных средств.</w:t>
      </w:r>
    </w:p>
    <w:p w:rsidR="00837CFD" w:rsidRPr="00837CFD" w:rsidRDefault="00837CFD" w:rsidP="00837CFD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837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ВЫВОДЫ:</w:t>
      </w:r>
    </w:p>
    <w:p w:rsidR="00837CFD" w:rsidRPr="00837CFD" w:rsidRDefault="00837CFD" w:rsidP="00837CFD">
      <w:pPr>
        <w:spacing w:after="0" w:line="240" w:lineRule="auto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1. Годовой отчет об исполнении бюджета муниципального образования «Ярцевский муниципальный округ» Смоленской области представлен Администрацией муниципального образования «Ярцевский муниципальный округ» Смоленской области в Контрольно-ревизионную комиссию муниципального образования «Ярцевский муниципальный округ» Смоленской области в срок, установленный статьей 264.4 Бюджетного кодекса Российской Федерации.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>Полнота представленной бюджетной отчетности соответствует требованиями ст. 264.1 Бюджетного кодекса РФ 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 утвержденной  приказом Министерства финансов РФ № 191н от 28.12.2010 (далее - Инструкция 191н), 157н, 162н, положений федеральных стандартов №№256н, 260н и других действующих нормативных актов, регулирующих ведение бюджетного учета и составление отчетности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за 2025 год.</w:t>
      </w:r>
    </w:p>
    <w:p w:rsidR="00837CFD" w:rsidRPr="00837CFD" w:rsidRDefault="00837CFD" w:rsidP="00837CFD">
      <w:pPr>
        <w:pStyle w:val="Default"/>
        <w:tabs>
          <w:tab w:val="left" w:pos="3822"/>
        </w:tabs>
        <w:ind w:firstLine="709"/>
        <w:jc w:val="both"/>
        <w:rPr>
          <w:sz w:val="28"/>
          <w:szCs w:val="28"/>
        </w:rPr>
      </w:pPr>
      <w:r w:rsidRPr="00837CFD">
        <w:rPr>
          <w:sz w:val="28"/>
          <w:szCs w:val="28"/>
        </w:rPr>
        <w:t xml:space="preserve">Контрольно-ревизионной комиссией проведен следующий анализ: </w:t>
      </w:r>
    </w:p>
    <w:p w:rsidR="00837CFD" w:rsidRPr="00837CFD" w:rsidRDefault="00837CFD" w:rsidP="00837CFD">
      <w:pPr>
        <w:pStyle w:val="Default"/>
        <w:tabs>
          <w:tab w:val="left" w:pos="3822"/>
        </w:tabs>
        <w:ind w:firstLine="709"/>
        <w:jc w:val="both"/>
        <w:rPr>
          <w:sz w:val="28"/>
          <w:szCs w:val="28"/>
        </w:rPr>
      </w:pPr>
      <w:r w:rsidRPr="00837CFD">
        <w:rPr>
          <w:sz w:val="28"/>
          <w:szCs w:val="28"/>
        </w:rPr>
        <w:t>- соответствия бюджетной отчетности главных администраторов бюджетных сре</w:t>
      </w:r>
      <w:proofErr w:type="gramStart"/>
      <w:r w:rsidRPr="00837CFD">
        <w:rPr>
          <w:sz w:val="28"/>
          <w:szCs w:val="28"/>
        </w:rPr>
        <w:t>дств св</w:t>
      </w:r>
      <w:proofErr w:type="gramEnd"/>
      <w:r w:rsidRPr="00837CFD">
        <w:rPr>
          <w:sz w:val="28"/>
          <w:szCs w:val="28"/>
        </w:rPr>
        <w:t xml:space="preserve">одной бюджетной росписи; </w:t>
      </w:r>
    </w:p>
    <w:p w:rsidR="00837CFD" w:rsidRPr="00837CFD" w:rsidRDefault="00837CFD" w:rsidP="00837CFD">
      <w:pPr>
        <w:pStyle w:val="Default"/>
        <w:tabs>
          <w:tab w:val="left" w:pos="3822"/>
        </w:tabs>
        <w:ind w:firstLine="709"/>
        <w:jc w:val="both"/>
        <w:rPr>
          <w:sz w:val="28"/>
          <w:szCs w:val="28"/>
        </w:rPr>
      </w:pPr>
      <w:proofErr w:type="gramStart"/>
      <w:r w:rsidRPr="00837CFD">
        <w:rPr>
          <w:sz w:val="28"/>
          <w:szCs w:val="28"/>
        </w:rPr>
        <w:t>- полноты представленной главными администраторами бюджетных средств бюджетной отчетности за 2025 год, ее соответствие требованиям Инструкциям, предусматривающим порядок составления и представления годовой,</w:t>
      </w:r>
      <w:r w:rsidRPr="00837CFD">
        <w:rPr>
          <w:sz w:val="26"/>
          <w:szCs w:val="26"/>
        </w:rPr>
        <w:t xml:space="preserve"> </w:t>
      </w:r>
      <w:r w:rsidRPr="00837CFD">
        <w:rPr>
          <w:sz w:val="28"/>
          <w:szCs w:val="28"/>
        </w:rPr>
        <w:t xml:space="preserve">квартальной и месячной отчетности об исполнении бюджетов бюджетной системы Российской Федерации; </w:t>
      </w:r>
      <w:proofErr w:type="gramEnd"/>
    </w:p>
    <w:p w:rsidR="00837CFD" w:rsidRPr="00837CFD" w:rsidRDefault="00837CFD" w:rsidP="00837CFD">
      <w:pPr>
        <w:pStyle w:val="Default"/>
        <w:tabs>
          <w:tab w:val="left" w:pos="3822"/>
        </w:tabs>
        <w:ind w:firstLine="709"/>
        <w:rPr>
          <w:sz w:val="28"/>
          <w:szCs w:val="28"/>
        </w:rPr>
      </w:pPr>
      <w:r w:rsidRPr="00837CFD">
        <w:rPr>
          <w:sz w:val="28"/>
          <w:szCs w:val="28"/>
        </w:rPr>
        <w:t xml:space="preserve">- соблюдение контрольных соотношений взаимосвязанных показателей бюджетной отчетности.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форм бюджетной отчетности осуществляется в рамках порядка ее составления, а оценка на основании обобщенных показателей содержащихся в отчетности.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баланс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 (ф. 0503130);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 отчет о финансовых результатах деятельности (ф,0503121);</w:t>
      </w:r>
    </w:p>
    <w:p w:rsidR="00837CFD" w:rsidRPr="00837CFD" w:rsidRDefault="00837CFD" w:rsidP="00837CFD">
      <w:pPr>
        <w:tabs>
          <w:tab w:val="left" w:pos="142"/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 (ф.0503127);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 движении денежных средств (ф.050123);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пояснительная записка к годовому отчету (ф.0503160).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Обобщенные данные представлены Финансовым управлением Администрации муниципального образования «Ярцевский муниципальный округ» Смоленской области в следующих формах бюджетной отчетности: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- баланс исполнения бюджета (ф.0503120);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 финансовых результатах деятельности (ф.0503121);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 движении денежных средств (ф.050123);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отчет об исполнении бюджета (ф.0503117);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пояснительная записка к отчету об исполнении бюджета (ф.0503160).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Также предоставлен отчет о расходовании средств резервного фонда Администрации муниципального образования.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Проверка форм бюджетной отчётности осуществлялась путём сверки итоговых значений форм отчётности, проверки контрольных соотношений внутри отчёта, контрольных соотношений между показателями форм бюджетной отчётности.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Фактов влияющих на достоверность финансового результата в представленных балансах не установлено.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ходе проведения экспертно-аналитического мероприятия на тождественность показателей бюджетной отчетности и данных бюджетного учета рассмотрены данные регистров бухгалтерского учета Финансового управления, а также Ярцевского окружного Совета депутатов, расхождений не установлено.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При проверке соответствия бюджетной отчетности главных администраторов бюджетных средств (по основным параметрам: доходы, расходы) отчету об исполнении бюджета по состоянию на 01.01.2026, фактов недостоверности не установлено.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Результаты анализа и оценка обобщенных показателей форм бюджетной отчетности представлены в настоящем заключении.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Годовая отчетность за 2025 год составлена по состоянию на 1 января 2026 года, в рублях с точностью до второго десятизначного знака после запятой, что соответствует п.9 Инструкции  № 191н.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>Первоначальным решением Ярцевского окружного Совета депутатов от 20.12.2024 № 87 «О бюджете муниципального образования «Ярцевский муниципальный округ» Смоленской области на 2025 год и плановый период 2026 и 2027 годов» утверждены основные характеристики бюджета на 2025 год по доходам и расходам в соответствующих суммах 1 439 883,2 тыс. рублей и 1 436 716,7 тыс. рублей, с профицитом 3 166,5 тыс. рублей.</w:t>
      </w:r>
      <w:proofErr w:type="gramEnd"/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ходе исполнения решения о бюджете на 2025 год в первоначально утвержденные назначения четыре раза вносились изменения и дополнения, решениями Ярцевского окружного Совета депутатов (от 30.04.2025 №115, 27.08.2025 №187, 29.10.2025 №207, 22.12.2025 №249).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В результате окончательно бюджет муниципального образования «Ярцев</w:t>
      </w:r>
      <w:proofErr w:type="gramStart"/>
      <w:r w:rsidRPr="00837CF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>кий муниципальный округ» Смоленской области на 2025 год утвержден: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доходам  в сумме 2 061 548,9 тыс. рублей;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расходам  в сумме 2 081 667,2 тыс. рублей.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>- дефицит бюджета 20 118,3 тыс. рублей.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3. Доходная часть бюджета за 2025 год исполнена в сумме 2 043 758,7 тыс. рублей, или 99,1% от уточненного плана на год, в том числе:</w:t>
      </w:r>
    </w:p>
    <w:p w:rsidR="00837CFD" w:rsidRPr="00837CFD" w:rsidRDefault="00837CFD" w:rsidP="00837CFD">
      <w:pPr>
        <w:tabs>
          <w:tab w:val="left" w:pos="142"/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- объем налоговых и неналоговых доходов составил 615 289,0 тыс. рублей (100,7% от плановых назначений);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безвозмездные поступления получены в сумме 1 428 469,9 тыс. рублей (98,5%).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По сравнению с 2024 годом доходы окружного бюджета увеличились на 266 597,6 тыс. рублей или на 15,0%, что связано с ростом безвозмездных поступлений на 155 811,5 тыс. рублей или на 12,3%, и увеличением объема налоговых и неналоговых доходов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110 786,3 тыс. рублей или на 22,0%.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При уточненном плане налоговых и неналоговых поступлений (610 860,9 тыс. рублей) за 2025 год поступило 615 289,0 тыс. рублей или 100,7%, перевыполнение составило 4 428,1 тыс. рублей.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Анализ представленных данных показал, что основную долю (96,0%) в налоговых и неналоговых доходах бюджета на 2025 год занимают налоговые доходы, которые составили 590 911,1 тыс. рублей.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 xml:space="preserve">Их поступления в сравнении с 2024 годом увеличились на 115 129,7 тыс. рублей или на 24,2%. В структуре налоговых доходов за 2025 год, основными доходными источниками являются: налог на доходы физических лиц 436 537,2 тыс. рублей с удельным весом в налоговых доходах 73,9%; налог на имущество 67 734,7 тыс. рублей с удельным весом 11,5%. </w:t>
      </w:r>
      <w:proofErr w:type="gramEnd"/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Неналоговые доходы заметно уступают по удельному весу налоговым доходам, что составляет 4,0%, и в сумме 24 377,9 тыс. рублей. Основными источниками неналоговых доходов бюджета являются, доходы от использования имущества, находящегося в государственной и муниципальной собственности.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Следует отметить, что доля налоговых и неналоговых доходов в составе доходных источников бюджета муниципального образования «Ярцев</w:t>
      </w:r>
      <w:proofErr w:type="gramStart"/>
      <w:r w:rsidRPr="00837CF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кий муниципальный округ» Смоленской области в 2025 году составила 30,1%, безвозмездных поступлений 69,9%. </w:t>
      </w:r>
    </w:p>
    <w:p w:rsidR="00837CFD" w:rsidRPr="00837CFD" w:rsidRDefault="00837CFD" w:rsidP="00837CFD">
      <w:pPr>
        <w:tabs>
          <w:tab w:val="left" w:pos="709"/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Большую е часть в безвозмездных поступлениях занимают субвенции, их доля в общей сумме безвозмездных поступлений составляет 47,5%.</w:t>
      </w:r>
    </w:p>
    <w:p w:rsidR="00837CFD" w:rsidRPr="00837CFD" w:rsidRDefault="00837CFD" w:rsidP="00837CFD">
      <w:pPr>
        <w:tabs>
          <w:tab w:val="left" w:pos="1752"/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Доля дотаций в объеме доходов местного бюджета (за исключением субвенций и иных межбюджетных трансфертов) составляет 27,6% (2024 – 33,3%). При этом размер дотации снизился на 1,3%, при росте налоговых и неналоговых доходов, что является немаловажным фактором роста собственных доходов.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4. Бюджет муниципального образования «Ярцевский муниципальный округ» Смоленской области в 2025 году по расходам исполнен в сумме 2 018 417,7 тыс. рублей или 97,3% к плановым бюджетным назначениям. В целом невыполнение плана по расходам составило 56 823,4 тыс. рублей.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Прирост расходов бюджета к показателям 2024 года составил 14,7% или в денежном выражении 258 367,0 тыс. рублей.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Анализ структуры расходов показал, что бюджет муниципального округа социально ориентирован. В структуре расходов бюджета округа за 2025 год основную долю 71,2% занимают расходы на социальную сферу, в том числе (с удельным весом в социальной сфере):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- образование (75,6%);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культура, кинематография (9,0%);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социальная политика (4,3%);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физическая культура и спорт (11,1%).</w:t>
      </w:r>
      <w:r w:rsidRPr="00837CFD">
        <w:rPr>
          <w:rFonts w:ascii="Times New Roman" w:hAnsi="Times New Roman" w:cs="Times New Roman"/>
          <w:sz w:val="28"/>
          <w:szCs w:val="28"/>
        </w:rPr>
        <w:tab/>
      </w:r>
    </w:p>
    <w:p w:rsidR="00837CFD" w:rsidRPr="00837CFD" w:rsidRDefault="00837CFD" w:rsidP="00837CFD">
      <w:pPr>
        <w:tabs>
          <w:tab w:val="left" w:pos="3822"/>
          <w:tab w:val="left" w:pos="6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Наибольший удельный вес составляют расходы на образование 53,8% (в 2024 году 54,3%), на втором месте – расходы в области жилищно-коммунального хозяйства 12,3% (в 2024 году 9,2%), на третьем месте расходы, связанные с общегосударственными вопросами 9,8% (в 2024 году 11,3%). Далее идут расходы на физическую культуру и спорт и составляют 7,9% (в 2024 году 7,1%). Расходы по национальной экономике 6,6% (в 2024 году 6,6%). Далее расходы на культуру, кинематографию с удельным весом 6,4% (в 2024 году 5,5%). Расходы, направленные на социальную политику 3,1% (в 2024 году 5,8%). Расходы в области охраны окружающей среды исполнены с долей в общем объеме 0,04% (2024 год - 0,05%). Расходы на национальную безопасность и правоохранительную деятельность произведены с удельным весом 0,03% (на уровне 2024 года). Расходы на обслуживание государственного и муниципального долга произведены также с наименьшим удельным весом 0,01% (в 2024 году на уровне 0,01%). </w:t>
      </w:r>
    </w:p>
    <w:p w:rsidR="00837CFD" w:rsidRPr="00837CFD" w:rsidRDefault="00837CFD" w:rsidP="00837CFD">
      <w:pPr>
        <w:tabs>
          <w:tab w:val="left" w:pos="3822"/>
          <w:tab w:val="left" w:pos="6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>Анализ показал, что по отношению к 2024 году по шести разделам произошло увеличение расходов, а именно: национальная безопасность и правоохранительная деятельность на 53,3 тыс. рублей (10%), национальная экономика 16 715,4 тыс. рублей (14,4%), жилищно-коммунальное хозяйство на 87 022,4 тыс. рублей (54,0%), образование на 131 870,6 тыс. рублей (13,8%), культура, кинематография на 31 719,6 тыс. рублей (32,5%), физическая культура и спорт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34 212,5 тыс. рублей (27,3%).</w:t>
      </w:r>
    </w:p>
    <w:p w:rsidR="00837CFD" w:rsidRPr="00837CFD" w:rsidRDefault="00837CFD" w:rsidP="00837CFD">
      <w:pPr>
        <w:tabs>
          <w:tab w:val="left" w:pos="3822"/>
          <w:tab w:val="left" w:pos="6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Уменьшение расходов произошло по разделу: общегосударственные расходы на 1 157,6 тыс. рублей (0,6%), национальная оборона 816,7 тыс. рублей (74,1%), охрана окружающей среды на 55,9 тыс. рублей (6,0%)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C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7CFD">
        <w:rPr>
          <w:rFonts w:ascii="Times New Roman" w:hAnsi="Times New Roman" w:cs="Times New Roman"/>
          <w:sz w:val="28"/>
          <w:szCs w:val="28"/>
        </w:rPr>
        <w:t>оциальная политика на 41 192,2 тыс. рублей (40,1%), расходы на обслуживание государственного и муниципального долга остались на 4,8 тыс. рублей (2,4%).</w:t>
      </w:r>
    </w:p>
    <w:p w:rsidR="00837CFD" w:rsidRPr="00837CFD" w:rsidRDefault="00837CFD" w:rsidP="00837CFD">
      <w:pPr>
        <w:pStyle w:val="a4"/>
        <w:tabs>
          <w:tab w:val="left" w:pos="382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5. В отчетном финансовом году 98,1% расходов бюджета осуществлялись программно-целевым методом. В муниципальном образовании «Ярцевский муниципальный округ» Смоленской области к реализации было утверждено 19 муниципальных программ. </w:t>
      </w:r>
    </w:p>
    <w:p w:rsidR="00837CFD" w:rsidRPr="00837CFD" w:rsidRDefault="00837CFD" w:rsidP="00837CFD">
      <w:pPr>
        <w:pStyle w:val="a4"/>
        <w:tabs>
          <w:tab w:val="left" w:pos="382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Плановые назначения на реализацию муниципальных программ на 2025 год утверждены решением «О бюджете муниципального образования «Ярцевский муниципальный округ» Смоленской области на 2024 год и плановый период 2025 и 2026 годов» в сумме 2 032 967,8 тыс. рублей. Объем финансирования муниципальных программ составил 1 979 939,9 тыс. рублей или 97,4% от плановых назначений. В полном объеме (100,0%) выполнен план по шести программам.</w:t>
      </w:r>
    </w:p>
    <w:p w:rsidR="00837CFD" w:rsidRPr="00837CFD" w:rsidRDefault="00837CFD" w:rsidP="00837CFD">
      <w:pPr>
        <w:pStyle w:val="a4"/>
        <w:tabs>
          <w:tab w:val="left" w:pos="38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>По оставшимся тринадцати муниципальным программам диапазон исполнения складывается от 90,1% до 99,9%.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lastRenderedPageBreak/>
        <w:t>6. Согласно решению Ярцевского окружного Совета депутатов от 25.12.2024 «О бюджете муниципального образования «Ярцевский муниципальный округ» Смоленской области на 2025 год и плановый период 2026 и 2027 годов» (в последней редакции) было определено, что верхний предел муниципального долга на 1 января 2026 года утвержден в сумме                    194 426,6 тыс. рублей.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Объем расходов местного бюджета по обслуживанию муниципального долга утвержден на 2025 год (в последней редакции бюджета муниципального образования) в сумме  192,8 тыс. рублей (уплата процентов за пользование кредитом).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Согласно данным (ф. 0503172) «Сведения о государственном (муниципальном) долге, представленных бюджетных кредитах» по состоянию на 01.01.2025 и на 01.01.2026 муниципальный долг соответственно составляет 197 593,1 тыс. рублей и 39 269,4 тыс. рублей - кредит из областного бюджета.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CFD">
        <w:rPr>
          <w:rFonts w:ascii="Times New Roman" w:hAnsi="Times New Roman" w:cs="Times New Roman"/>
          <w:sz w:val="28"/>
          <w:szCs w:val="28"/>
        </w:rPr>
        <w:t xml:space="preserve">В отчетном периоде был погашен кредит из областного бюджета, полученный по договору №03-24-2022/09 от 30.06.2022 в сумме 158 323,7 тыс. рублей, а именно: погашено за счет источников финансирования бюджета 2% от суммы кредита – 3 166,5 тыс. рублей, списано в пользу муниципального образования «Ярцевский муниципальный округ» Смоленской области 155 157,2 тыс. рублей (98% от суммы кредита). </w:t>
      </w:r>
      <w:proofErr w:type="gramEnd"/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CFD">
        <w:rPr>
          <w:rFonts w:ascii="Times New Roman" w:hAnsi="Times New Roman" w:cs="Times New Roman"/>
          <w:sz w:val="28"/>
          <w:szCs w:val="28"/>
        </w:rPr>
        <w:t>7. Согласно представленным сведениям (ф. 0503169), дебиторская задолженность в целом по муниципальному образованию по состоянию на 01.01.2026 составляет 3 204 951,0 тыс. рублей (в том числе: долгосрочная 1 918 303,9 тыс. рублей). Произошло увеличение дебиторской задолженности на конец отчетного периода на 735 201,2 тыс. рублей, в основном за счет</w:t>
      </w:r>
      <w:r w:rsidRPr="00837C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7CFD">
        <w:rPr>
          <w:rFonts w:ascii="Times New Roman" w:hAnsi="Times New Roman" w:cs="Times New Roman"/>
          <w:sz w:val="28"/>
          <w:szCs w:val="28"/>
        </w:rPr>
        <w:t>безвозмездных поступлений доходов будущего периода от других бюджетов. Основную долю в дебиторской задолженности на конец отчетного периода составляет задолженность по безвозмездным поступлениям от других бюджетов (запланированные поступления на 2026 и плановый период согласно уведомлениям о расчетах между бюджетами)  в сумме 3 066 285,7 тыс. рублей или 95,7% от суммы дебиторской задолженности в целом.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Кредиторская задолженность в целом по муниципальному образованию на конец отчетного периода составляет 3 144 430,8 тыс. рублей, что  на  710 827,0 тыс. рублей больше, чем  на начало 2025 года.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Отмечено значительное увеличение кредиторской задолженности (в сравнении с началом отчетного периода):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расчетам по заработной плате на 1 313,0 тыс. рублей;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расчетам по коммунальным услугам 1 575,8 тыс. рублей;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по доходам будущих периодов от поступлений текущего характера от других бюджетов 1 291 556,1 тыс. рублей;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- расчеты по доходам будущих периодов к признанию в очередные годы 55 877,0 тыс. рублей.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Проведенный анализ показал, что показатели дебиторской и кредиторской задолженности,  отраженные в формах  0503120, 0503160,  </w:t>
      </w:r>
      <w:r w:rsidRPr="00837CFD">
        <w:rPr>
          <w:rFonts w:ascii="Times New Roman" w:hAnsi="Times New Roman" w:cs="Times New Roman"/>
          <w:sz w:val="28"/>
          <w:szCs w:val="28"/>
        </w:rPr>
        <w:lastRenderedPageBreak/>
        <w:t>0503169, 0503173 годового отчета за 2025 год между собой взаимоувязаны и соответствуют сведениям отчетов главных администраторов бюджетных средств.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 xml:space="preserve">8. Бюджет муниципального образования «Ярцевский муниципальный округ» Смоленской области исполнен с профицитом в сумме 25 341,0 тыс. рублей (при плановом дефиците 20 118,3 тыс. рублей).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CFD">
        <w:rPr>
          <w:rFonts w:ascii="Times New Roman" w:hAnsi="Times New Roman" w:cs="Times New Roman"/>
          <w:sz w:val="28"/>
          <w:szCs w:val="28"/>
        </w:rPr>
        <w:t>9. Контрольно-ревизионная комиссия муниципального образования «Ярцевский муниципальный округ» Смоленской области рекоменд</w:t>
      </w:r>
      <w:r w:rsidR="00E057DD">
        <w:rPr>
          <w:rFonts w:ascii="Times New Roman" w:hAnsi="Times New Roman" w:cs="Times New Roman"/>
          <w:sz w:val="28"/>
          <w:szCs w:val="28"/>
        </w:rPr>
        <w:t>овала</w:t>
      </w:r>
      <w:r w:rsidRPr="00837CFD">
        <w:rPr>
          <w:rFonts w:ascii="Times New Roman" w:hAnsi="Times New Roman" w:cs="Times New Roman"/>
          <w:sz w:val="28"/>
          <w:szCs w:val="28"/>
        </w:rPr>
        <w:t xml:space="preserve"> Ярцевскому окружному Совету депутатов утвердить отчет об исполнении бюджета муниципального образования «Ярцевский муниципальный округ» Смоленской области за 2025 год. </w:t>
      </w:r>
    </w:p>
    <w:p w:rsidR="00837CFD" w:rsidRPr="00837CFD" w:rsidRDefault="00837CFD" w:rsidP="00837CFD">
      <w:pPr>
        <w:tabs>
          <w:tab w:val="left" w:pos="38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7CFD" w:rsidRPr="00837CFD" w:rsidRDefault="00837CFD" w:rsidP="00596E1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837CFD" w:rsidRPr="00837CFD" w:rsidSect="00596E1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743"/>
    <w:multiLevelType w:val="hybridMultilevel"/>
    <w:tmpl w:val="E86C1004"/>
    <w:lvl w:ilvl="0" w:tplc="E22440AC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>
    <w:nsid w:val="02C85D8C"/>
    <w:multiLevelType w:val="hybridMultilevel"/>
    <w:tmpl w:val="255E09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8A674F"/>
    <w:multiLevelType w:val="hybridMultilevel"/>
    <w:tmpl w:val="87D475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6D27B4"/>
    <w:multiLevelType w:val="hybridMultilevel"/>
    <w:tmpl w:val="C72A2306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6AC33BE"/>
    <w:multiLevelType w:val="hybridMultilevel"/>
    <w:tmpl w:val="90AA5BF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06AD4EC7"/>
    <w:multiLevelType w:val="hybridMultilevel"/>
    <w:tmpl w:val="A3FEF5D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D3B07E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950392"/>
    <w:multiLevelType w:val="hybridMultilevel"/>
    <w:tmpl w:val="6F1AA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8A312FA"/>
    <w:multiLevelType w:val="hybridMultilevel"/>
    <w:tmpl w:val="77404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258A9"/>
    <w:multiLevelType w:val="hybridMultilevel"/>
    <w:tmpl w:val="6A64E0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AE0118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B94451"/>
    <w:multiLevelType w:val="hybridMultilevel"/>
    <w:tmpl w:val="AC9A109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AB458F"/>
    <w:multiLevelType w:val="hybridMultilevel"/>
    <w:tmpl w:val="34E23A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BE14E8"/>
    <w:multiLevelType w:val="hybridMultilevel"/>
    <w:tmpl w:val="0F302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53E10B8"/>
    <w:multiLevelType w:val="hybridMultilevel"/>
    <w:tmpl w:val="423204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9AD3C8A"/>
    <w:multiLevelType w:val="hybridMultilevel"/>
    <w:tmpl w:val="5426B788"/>
    <w:lvl w:ilvl="0" w:tplc="04740F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>
    <w:nsid w:val="1B3023BE"/>
    <w:multiLevelType w:val="hybridMultilevel"/>
    <w:tmpl w:val="FBB64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E9A1E9A"/>
    <w:multiLevelType w:val="hybridMultilevel"/>
    <w:tmpl w:val="85DE1C04"/>
    <w:lvl w:ilvl="0" w:tplc="04D237C2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F4F5FDD"/>
    <w:multiLevelType w:val="hybridMultilevel"/>
    <w:tmpl w:val="E8DE4B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0E24205"/>
    <w:multiLevelType w:val="hybridMultilevel"/>
    <w:tmpl w:val="4210D080"/>
    <w:lvl w:ilvl="0" w:tplc="38A20C1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A94260"/>
    <w:multiLevelType w:val="hybridMultilevel"/>
    <w:tmpl w:val="3A2AE7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606D41"/>
    <w:multiLevelType w:val="hybridMultilevel"/>
    <w:tmpl w:val="6CFEEF1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8B6668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2D46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825254"/>
    <w:multiLevelType w:val="hybridMultilevel"/>
    <w:tmpl w:val="5C06C1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E1B60"/>
    <w:multiLevelType w:val="hybridMultilevel"/>
    <w:tmpl w:val="91644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E306F1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830AC2"/>
    <w:multiLevelType w:val="hybridMultilevel"/>
    <w:tmpl w:val="ED4AB722"/>
    <w:lvl w:ilvl="0" w:tplc="0419000B">
      <w:start w:val="1"/>
      <w:numFmt w:val="bullet"/>
      <w:lvlText w:val=""/>
      <w:lvlJc w:val="left"/>
      <w:pPr>
        <w:ind w:left="15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3">
    <w:nsid w:val="2ECF7B5E"/>
    <w:multiLevelType w:val="hybridMultilevel"/>
    <w:tmpl w:val="391E8D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0B5B70"/>
    <w:multiLevelType w:val="hybridMultilevel"/>
    <w:tmpl w:val="97D66C5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34B05DA"/>
    <w:multiLevelType w:val="hybridMultilevel"/>
    <w:tmpl w:val="436272AA"/>
    <w:lvl w:ilvl="0" w:tplc="3D1CE73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4B7064D"/>
    <w:multiLevelType w:val="hybridMultilevel"/>
    <w:tmpl w:val="E6D40B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10C2FD4"/>
    <w:multiLevelType w:val="hybridMultilevel"/>
    <w:tmpl w:val="1046C4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74063C"/>
    <w:multiLevelType w:val="hybridMultilevel"/>
    <w:tmpl w:val="771CF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98F30CE"/>
    <w:multiLevelType w:val="hybridMultilevel"/>
    <w:tmpl w:val="1BC810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EA0256C"/>
    <w:multiLevelType w:val="hybridMultilevel"/>
    <w:tmpl w:val="67743FAA"/>
    <w:lvl w:ilvl="0" w:tplc="041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50021AC3"/>
    <w:multiLevelType w:val="hybridMultilevel"/>
    <w:tmpl w:val="3398D8F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BE2562"/>
    <w:multiLevelType w:val="hybridMultilevel"/>
    <w:tmpl w:val="AB44E4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D131CD"/>
    <w:multiLevelType w:val="hybridMultilevel"/>
    <w:tmpl w:val="3896527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E9A2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461F6A"/>
    <w:multiLevelType w:val="hybridMultilevel"/>
    <w:tmpl w:val="A6F0D586"/>
    <w:lvl w:ilvl="0" w:tplc="3746C9AE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639527B0"/>
    <w:multiLevelType w:val="hybridMultilevel"/>
    <w:tmpl w:val="68BC923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65515B6"/>
    <w:multiLevelType w:val="hybridMultilevel"/>
    <w:tmpl w:val="4EE295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8A13F2"/>
    <w:multiLevelType w:val="hybridMultilevel"/>
    <w:tmpl w:val="38A8EB7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>
    <w:nsid w:val="730672ED"/>
    <w:multiLevelType w:val="hybridMultilevel"/>
    <w:tmpl w:val="5C6058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ABC5F85"/>
    <w:multiLevelType w:val="hybridMultilevel"/>
    <w:tmpl w:val="5C2A1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0">
    <w:nsid w:val="7B3210F6"/>
    <w:multiLevelType w:val="hybridMultilevel"/>
    <w:tmpl w:val="3604920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>
    <w:nsid w:val="7E8162DA"/>
    <w:multiLevelType w:val="hybridMultilevel"/>
    <w:tmpl w:val="0812EC6C"/>
    <w:lvl w:ilvl="0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2">
    <w:nsid w:val="7EA01F99"/>
    <w:multiLevelType w:val="hybridMultilevel"/>
    <w:tmpl w:val="B4908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B21CD3"/>
    <w:multiLevelType w:val="hybridMultilevel"/>
    <w:tmpl w:val="47AAB400"/>
    <w:lvl w:ilvl="0" w:tplc="0419000D">
      <w:start w:val="1"/>
      <w:numFmt w:val="bullet"/>
      <w:lvlText w:val=""/>
      <w:lvlJc w:val="left"/>
      <w:pPr>
        <w:ind w:left="14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3"/>
  </w:num>
  <w:num w:numId="6">
    <w:abstractNumId w:val="31"/>
  </w:num>
  <w:num w:numId="7">
    <w:abstractNumId w:val="5"/>
  </w:num>
  <w:num w:numId="8">
    <w:abstractNumId w:val="21"/>
  </w:num>
  <w:num w:numId="9">
    <w:abstractNumId w:val="33"/>
  </w:num>
  <w:num w:numId="1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9"/>
  </w:num>
  <w:num w:numId="13">
    <w:abstractNumId w:val="17"/>
  </w:num>
  <w:num w:numId="14">
    <w:abstractNumId w:val="20"/>
  </w:num>
  <w:num w:numId="15">
    <w:abstractNumId w:val="25"/>
  </w:num>
  <w:num w:numId="16">
    <w:abstractNumId w:val="3"/>
  </w:num>
  <w:num w:numId="17">
    <w:abstractNumId w:val="15"/>
  </w:num>
  <w:num w:numId="18">
    <w:abstractNumId w:val="0"/>
  </w:num>
  <w:num w:numId="19">
    <w:abstractNumId w:val="7"/>
  </w:num>
  <w:num w:numId="20">
    <w:abstractNumId w:val="14"/>
  </w:num>
  <w:num w:numId="21">
    <w:abstractNumId w:val="30"/>
  </w:num>
  <w:num w:numId="22">
    <w:abstractNumId w:val="18"/>
  </w:num>
  <w:num w:numId="23">
    <w:abstractNumId w:val="10"/>
  </w:num>
  <w:num w:numId="24">
    <w:abstractNumId w:val="24"/>
  </w:num>
  <w:num w:numId="25">
    <w:abstractNumId w:val="26"/>
  </w:num>
  <w:num w:numId="26">
    <w:abstractNumId w:val="28"/>
  </w:num>
  <w:num w:numId="27">
    <w:abstractNumId w:val="1"/>
  </w:num>
  <w:num w:numId="28">
    <w:abstractNumId w:val="43"/>
  </w:num>
  <w:num w:numId="29">
    <w:abstractNumId w:val="2"/>
  </w:num>
  <w:num w:numId="30">
    <w:abstractNumId w:val="16"/>
  </w:num>
  <w:num w:numId="31">
    <w:abstractNumId w:val="39"/>
  </w:num>
  <w:num w:numId="32">
    <w:abstractNumId w:val="11"/>
  </w:num>
  <w:num w:numId="33">
    <w:abstractNumId w:val="29"/>
  </w:num>
  <w:num w:numId="34">
    <w:abstractNumId w:val="12"/>
  </w:num>
  <w:num w:numId="35">
    <w:abstractNumId w:val="41"/>
  </w:num>
  <w:num w:numId="36">
    <w:abstractNumId w:val="35"/>
  </w:num>
  <w:num w:numId="37">
    <w:abstractNumId w:val="27"/>
  </w:num>
  <w:num w:numId="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40"/>
  </w:num>
  <w:num w:numId="41">
    <w:abstractNumId w:val="4"/>
  </w:num>
  <w:num w:numId="42">
    <w:abstractNumId w:val="38"/>
  </w:num>
  <w:num w:numId="43">
    <w:abstractNumId w:val="22"/>
  </w:num>
  <w:num w:numId="44">
    <w:abstractNumId w:val="34"/>
  </w:num>
  <w:num w:numId="45">
    <w:abstractNumId w:val="4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06E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29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54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706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9F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5EC5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0FAA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DA0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4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447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479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1F66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6E13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56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E6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CFD"/>
    <w:rsid w:val="00837D01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53B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5DB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3FA2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91C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0C2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C8A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9BF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17C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6FBB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6B7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7D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customStyle="1" w:styleId="Default">
    <w:name w:val="Default"/>
    <w:rsid w:val="00CB49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7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717C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D7717C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unhideWhenUsed/>
    <w:rsid w:val="00D7717C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 Spacing"/>
    <w:uiPriority w:val="1"/>
    <w:qFormat/>
    <w:rsid w:val="00D7717C"/>
    <w:pPr>
      <w:spacing w:after="0" w:line="240" w:lineRule="auto"/>
    </w:pPr>
  </w:style>
  <w:style w:type="paragraph" w:styleId="ad">
    <w:name w:val="Body Text"/>
    <w:basedOn w:val="a"/>
    <w:link w:val="ae"/>
    <w:rsid w:val="00D771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Основной текст Знак"/>
    <w:basedOn w:val="a0"/>
    <w:link w:val="ad"/>
    <w:rsid w:val="00D771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771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0">
    <w:name w:val="Знак Знак"/>
    <w:basedOn w:val="a"/>
    <w:rsid w:val="009315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93153B"/>
  </w:style>
  <w:style w:type="character" w:customStyle="1" w:styleId="af1">
    <w:name w:val="Текст концевой сноски Знак"/>
    <w:basedOn w:val="a0"/>
    <w:link w:val="af2"/>
    <w:uiPriority w:val="99"/>
    <w:semiHidden/>
    <w:rsid w:val="0093153B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endnote text"/>
    <w:basedOn w:val="a"/>
    <w:link w:val="af1"/>
    <w:uiPriority w:val="99"/>
    <w:semiHidden/>
    <w:unhideWhenUsed/>
    <w:rsid w:val="0093153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93153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93153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rsid w:val="0093153B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rsid w:val="0093153B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93153B"/>
    <w:rPr>
      <w:b/>
      <w:bCs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93153B"/>
    <w:rPr>
      <w:b/>
      <w:bCs/>
    </w:rPr>
  </w:style>
  <w:style w:type="paragraph" w:styleId="af9">
    <w:name w:val="Revision"/>
    <w:hidden/>
    <w:uiPriority w:val="99"/>
    <w:semiHidden/>
    <w:rsid w:val="00837CFD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9">
    <w:name w:val="Font Style29"/>
    <w:basedOn w:val="a0"/>
    <w:uiPriority w:val="99"/>
    <w:rsid w:val="00837CF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837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83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37CFD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24605</TotalTime>
  <Pages>25</Pages>
  <Words>8403</Words>
  <Characters>47902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28</cp:revision>
  <dcterms:created xsi:type="dcterms:W3CDTF">2021-09-20T05:57:00Z</dcterms:created>
  <dcterms:modified xsi:type="dcterms:W3CDTF">2026-06-29T09:00:00Z</dcterms:modified>
</cp:coreProperties>
</file>